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lang w:eastAsia="ja-JP"/>
        </w:rPr>
        <w:t>3GPP TSG RAN WG1 meeting #11</w:t>
      </w:r>
      <w:r>
        <w:rPr>
          <w:rFonts w:hint="eastAsia" w:ascii="Arial" w:hAnsi="Arial" w:cs="Arial"/>
          <w:b/>
          <w:bCs/>
          <w:sz w:val="22"/>
          <w:szCs w:val="22"/>
        </w:rPr>
        <w:t>6</w:t>
      </w:r>
      <w:r>
        <w:rPr>
          <w:rFonts w:ascii="Arial" w:hAnsi="Arial" w:cs="Arial"/>
          <w:b/>
          <w:bCs/>
          <w:sz w:val="22"/>
          <w:szCs w:val="22"/>
          <w:lang w:eastAsia="ja-JP"/>
        </w:rPr>
        <w:tab/>
      </w:r>
      <w:r>
        <w:rPr>
          <w:rFonts w:ascii="Arial" w:hAnsi="Arial" w:cs="Arial"/>
          <w:b/>
          <w:bCs/>
          <w:sz w:val="22"/>
          <w:szCs w:val="22"/>
          <w:lang w:eastAsia="ja-JP"/>
        </w:rPr>
        <w:tab/>
      </w:r>
      <w:r>
        <w:rPr>
          <w:rFonts w:ascii="Arial" w:hAnsi="Arial" w:cs="Arial"/>
          <w:b/>
          <w:bCs/>
          <w:sz w:val="22"/>
          <w:szCs w:val="22"/>
          <w:lang w:eastAsia="ja-JP"/>
        </w:rPr>
        <w:t xml:space="preserve">                                   R1-2400494</w:t>
      </w:r>
    </w:p>
    <w:p>
      <w:pPr>
        <w:spacing w:before="120" w:after="120"/>
        <w:rPr>
          <w:rFonts w:ascii="Arial" w:hAnsi="Arial" w:cs="Arial"/>
          <w:b/>
          <w:bCs/>
          <w:sz w:val="22"/>
          <w:szCs w:val="22"/>
        </w:rPr>
      </w:pPr>
      <w:r>
        <w:rPr>
          <w:rFonts w:hint="eastAsia" w:ascii="Arial" w:hAnsi="Arial" w:cs="Arial"/>
          <w:b/>
          <w:bCs/>
          <w:sz w:val="22"/>
          <w:szCs w:val="22"/>
        </w:rPr>
        <w:t>Athens</w:t>
      </w:r>
      <w:r>
        <w:rPr>
          <w:rFonts w:ascii="Arial" w:hAnsi="Arial" w:cs="Arial"/>
          <w:b/>
          <w:bCs/>
          <w:sz w:val="22"/>
          <w:szCs w:val="22"/>
          <w:lang w:eastAsia="ja-JP"/>
        </w:rPr>
        <w:t xml:space="preserve">, </w:t>
      </w:r>
      <w:r>
        <w:rPr>
          <w:rFonts w:hint="eastAsia" w:ascii="Arial" w:hAnsi="Arial" w:cs="Arial"/>
          <w:b/>
          <w:bCs/>
          <w:sz w:val="22"/>
          <w:szCs w:val="22"/>
        </w:rPr>
        <w:t>Greece, Feb 26</w:t>
      </w:r>
      <w:r>
        <w:rPr>
          <w:rFonts w:hint="eastAsia" w:ascii="Arial" w:hAnsi="Arial" w:cs="Arial"/>
          <w:b/>
          <w:bCs/>
          <w:sz w:val="22"/>
          <w:szCs w:val="22"/>
          <w:vertAlign w:val="superscript"/>
        </w:rPr>
        <w:t>th</w:t>
      </w:r>
      <w:r>
        <w:rPr>
          <w:rFonts w:ascii="Arial" w:hAnsi="Arial" w:eastAsia="MS Mincho" w:cs="Arial"/>
          <w:b/>
          <w:bCs/>
          <w:sz w:val="22"/>
          <w:szCs w:val="22"/>
        </w:rPr>
        <w:t xml:space="preserve"> – </w:t>
      </w:r>
      <w:r>
        <w:rPr>
          <w:rFonts w:hint="eastAsia" w:ascii="Arial" w:hAnsi="Arial" w:cs="Arial"/>
          <w:b/>
          <w:bCs/>
          <w:sz w:val="22"/>
          <w:szCs w:val="22"/>
        </w:rPr>
        <w:t>Mar 1</w:t>
      </w:r>
      <w:r>
        <w:rPr>
          <w:rFonts w:hint="eastAsia" w:ascii="Arial" w:hAnsi="Arial" w:cs="Arial"/>
          <w:b/>
          <w:bCs/>
          <w:sz w:val="22"/>
          <w:szCs w:val="22"/>
          <w:vertAlign w:val="superscript"/>
        </w:rPr>
        <w:t>st</w:t>
      </w:r>
      <w:r>
        <w:rPr>
          <w:rFonts w:ascii="Arial" w:hAnsi="Arial" w:cs="Arial"/>
          <w:b/>
          <w:bCs/>
          <w:sz w:val="22"/>
          <w:szCs w:val="22"/>
          <w:lang w:eastAsia="ja-JP"/>
        </w:rPr>
        <w:t>, 202</w:t>
      </w:r>
      <w:r>
        <w:rPr>
          <w:rFonts w:hint="eastAsia" w:ascii="Arial" w:hAnsi="Arial" w:cs="Arial"/>
          <w:b/>
          <w:bCs/>
          <w:sz w:val="22"/>
          <w:szCs w:val="22"/>
        </w:rPr>
        <w:t>4</w:t>
      </w:r>
    </w:p>
    <w:p>
      <w:pPr>
        <w:tabs>
          <w:tab w:val="center" w:pos="4536"/>
          <w:tab w:val="right" w:pos="9072"/>
        </w:tabs>
        <w:spacing w:before="120" w:after="120"/>
        <w:rPr>
          <w:rFonts w:ascii="Arial" w:hAnsi="Arial" w:cs="Arial"/>
          <w:b/>
          <w:bCs/>
          <w:sz w:val="22"/>
          <w:szCs w:val="22"/>
        </w:rPr>
      </w:pPr>
    </w:p>
    <w:p>
      <w:pPr>
        <w:tabs>
          <w:tab w:val="left" w:pos="1985"/>
        </w:tabs>
        <w:spacing w:before="240" w:beforeLines="10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b/>
          <w:sz w:val="22"/>
          <w:szCs w:val="22"/>
        </w:rPr>
        <w:t>Discussio</w:t>
      </w:r>
      <w:r>
        <w:rPr>
          <w:rFonts w:hint="eastAsia" w:ascii="Arial" w:hAnsi="Arial"/>
          <w:b/>
          <w:sz w:val="22"/>
          <w:szCs w:val="22"/>
        </w:rPr>
        <w:t>n on common signal_channel for NES</w:t>
      </w:r>
      <w:r>
        <w:rPr>
          <w:rFonts w:ascii="Arial" w:hAnsi="Arial"/>
          <w:b/>
          <w:sz w:val="22"/>
          <w:szCs w:val="22"/>
        </w:rPr>
        <w:t> </w:t>
      </w:r>
    </w:p>
    <w:p>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r>
      <w:r>
        <w:rPr>
          <w:rFonts w:ascii="Arial" w:hAnsi="Arial"/>
          <w:b/>
          <w:sz w:val="22"/>
          <w:szCs w:val="22"/>
        </w:rPr>
        <w:t>ZTE, Sanechips</w:t>
      </w:r>
    </w:p>
    <w:p>
      <w:pPr>
        <w:tabs>
          <w:tab w:val="left" w:pos="1985"/>
        </w:tabs>
        <w:spacing w:before="120" w:after="120"/>
        <w:rPr>
          <w:b/>
          <w:sz w:val="20"/>
          <w:szCs w:val="22"/>
        </w:rPr>
      </w:pPr>
      <w:r>
        <w:rPr>
          <w:rFonts w:ascii="Arial" w:hAnsi="Arial"/>
          <w:b/>
          <w:sz w:val="22"/>
          <w:szCs w:val="22"/>
          <w:lang w:val="pt-BR"/>
        </w:rPr>
        <w:t>Agenda item:</w:t>
      </w:r>
      <w:r>
        <w:rPr>
          <w:rFonts w:ascii="Arial" w:hAnsi="Arial"/>
          <w:b/>
          <w:sz w:val="22"/>
          <w:szCs w:val="22"/>
          <w:lang w:val="pt-BR"/>
        </w:rPr>
        <w:tab/>
      </w:r>
      <w:r>
        <w:rPr>
          <w:rFonts w:hint="eastAsia" w:ascii="Arial" w:hAnsi="Arial"/>
          <w:b/>
          <w:sz w:val="22"/>
          <w:szCs w:val="22"/>
        </w:rPr>
        <w:t>9.5.3</w:t>
      </w:r>
    </w:p>
    <w:p>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hint="eastAsia" w:ascii="Arial" w:hAnsi="Arial"/>
          <w:b/>
          <w:sz w:val="22"/>
          <w:szCs w:val="22"/>
        </w:rPr>
        <w:t>Discussion</w:t>
      </w:r>
      <w:r>
        <w:rPr>
          <w:rFonts w:ascii="Arial" w:hAnsi="Arial"/>
          <w:b/>
          <w:sz w:val="22"/>
          <w:szCs w:val="22"/>
        </w:rPr>
        <w:t xml:space="preserve"> and decision</w:t>
      </w:r>
    </w:p>
    <w:p>
      <w:pPr>
        <w:pStyle w:val="2"/>
        <w:spacing w:before="120" w:after="120"/>
        <w:ind w:left="0"/>
        <w:rPr>
          <w:rFonts w:eastAsia="宋体"/>
        </w:rPr>
      </w:pPr>
      <w:r>
        <w:rPr>
          <w:rFonts w:hint="eastAsia" w:eastAsia="宋体"/>
        </w:rPr>
        <w:t>Introduction</w:t>
      </w:r>
    </w:p>
    <w:p>
      <w:pPr>
        <w:spacing w:before="120" w:after="120"/>
        <w:rPr>
          <w:szCs w:val="21"/>
        </w:rPr>
      </w:pPr>
      <w:r>
        <w:rPr>
          <w:rFonts w:hint="eastAsia"/>
          <w:szCs w:val="21"/>
        </w:rPr>
        <w:t xml:space="preserve"> According to [1], the objective of adaptation of common signal/channel transmissions is listed as follows.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1" w:type="dxa"/>
          </w:tcPr>
          <w:p>
            <w:pPr>
              <w:numPr>
                <w:ilvl w:val="0"/>
                <w:numId w:val="5"/>
              </w:numPr>
              <w:spacing w:before="120" w:after="120"/>
            </w:pPr>
            <w:r>
              <w:t>Specify adaptation of common signal/channel transmissions. [RAN1/2/3/4]</w:t>
            </w:r>
          </w:p>
          <w:p>
            <w:pPr>
              <w:numPr>
                <w:ilvl w:val="1"/>
                <w:numId w:val="5"/>
              </w:numPr>
              <w:spacing w:before="120" w:after="120"/>
              <w:ind w:left="1049" w:hanging="329"/>
              <w:rPr>
                <w:bCs/>
              </w:rPr>
            </w:pPr>
            <w:r>
              <w:rPr>
                <w:bCs/>
              </w:rPr>
              <w:t xml:space="preserve">Adaptation of SSB in time domain, e.g. adapting periodicity </w:t>
            </w:r>
          </w:p>
          <w:p>
            <w:pPr>
              <w:numPr>
                <w:ilvl w:val="1"/>
                <w:numId w:val="5"/>
              </w:numPr>
              <w:spacing w:before="120" w:after="120"/>
              <w:ind w:left="1049" w:hanging="329"/>
            </w:pPr>
            <w:r>
              <w:t>Adaptation of PRACH in time domain</w:t>
            </w:r>
          </w:p>
          <w:p>
            <w:pPr>
              <w:numPr>
                <w:ilvl w:val="1"/>
                <w:numId w:val="5"/>
              </w:numPr>
              <w:spacing w:before="120" w:after="120"/>
              <w:ind w:left="1049" w:hanging="329"/>
            </w:pPr>
            <w:r>
              <w:t>Study adaptation of PRACH in spatial domain, e.g. non-uniform PRACH resources per SSB, and specify if found beneficial</w:t>
            </w:r>
          </w:p>
          <w:p>
            <w:pPr>
              <w:numPr>
                <w:ilvl w:val="2"/>
                <w:numId w:val="5"/>
              </w:numPr>
              <w:spacing w:before="120" w:after="120"/>
            </w:pPr>
            <w:r>
              <w:t>This study is to be done in 2Q’2024 only</w:t>
            </w:r>
          </w:p>
          <w:p>
            <w:pPr>
              <w:numPr>
                <w:ilvl w:val="1"/>
                <w:numId w:val="5"/>
              </w:numPr>
              <w:spacing w:before="120" w:after="120"/>
              <w:ind w:left="1049" w:hanging="329"/>
            </w:pPr>
            <w:r>
              <w:t>Adaptation of paging occasions including confining the paging occasions in the time domain</w:t>
            </w:r>
          </w:p>
          <w:p>
            <w:pPr>
              <w:numPr>
                <w:ilvl w:val="2"/>
                <w:numId w:val="5"/>
              </w:numPr>
              <w:spacing w:before="120" w:after="120"/>
            </w:pPr>
            <w:r>
              <w:t>Note: there shall be no paging latency increase</w:t>
            </w:r>
          </w:p>
          <w:p>
            <w:pPr>
              <w:pStyle w:val="72"/>
              <w:spacing w:before="120" w:after="120"/>
              <w:rPr>
                <w:lang w:eastAsia="zh-CN"/>
              </w:rPr>
            </w:pPr>
            <w:r>
              <w:rPr>
                <w:lang w:eastAsia="zh-CN"/>
              </w:rPr>
              <w:t>Note: there shall be no negative impact to legacy UEs, unless significant benefits are shown</w:t>
            </w:r>
          </w:p>
        </w:tc>
      </w:tr>
    </w:tbl>
    <w:p>
      <w:pPr>
        <w:spacing w:before="120" w:after="120"/>
        <w:rPr>
          <w:szCs w:val="21"/>
        </w:rPr>
      </w:pPr>
      <w:r>
        <w:rPr>
          <w:rFonts w:hint="eastAsia"/>
          <w:szCs w:val="21"/>
        </w:rPr>
        <w:t>Based on the objective, we discuss adaptation of SSB, PRACH and paging occasions in time domain in this paper.</w:t>
      </w:r>
    </w:p>
    <w:p>
      <w:pPr>
        <w:pStyle w:val="2"/>
        <w:spacing w:before="120" w:after="120"/>
        <w:ind w:left="0"/>
      </w:pPr>
      <w:r>
        <w:rPr>
          <w:rFonts w:hint="eastAsia" w:eastAsia="宋体"/>
        </w:rPr>
        <w:t>Adaptation of SSB in time domain</w:t>
      </w:r>
    </w:p>
    <w:p>
      <w:pPr>
        <w:pStyle w:val="3"/>
        <w:spacing w:before="120" w:after="120"/>
        <w:ind w:left="991" w:right="210" w:hanging="991" w:hangingChars="354"/>
      </w:pPr>
      <w:r>
        <w:rPr>
          <w:rFonts w:hint="eastAsia" w:eastAsia="宋体"/>
        </w:rPr>
        <w:t>Use case for adaptation of SSB in time domain</w:t>
      </w:r>
    </w:p>
    <w:p>
      <w:pPr>
        <w:spacing w:before="120" w:after="120"/>
      </w:pPr>
      <w:r>
        <w:rPr>
          <w:rFonts w:hint="eastAsia"/>
        </w:rPr>
        <w:t xml:space="preserve">The periodicity of SSB transmission is determined once it is configured by SIB1. In this case, frequent SSB transmission reduces network sleep opportunities, which is not helpful for network energy saving. Therefore, the SSB adaptation in time domain should be considered for network energy saving. </w:t>
      </w:r>
    </w:p>
    <w:p>
      <w:pPr>
        <w:spacing w:before="120" w:after="120"/>
      </w:pPr>
      <w:r>
        <w:rPr>
          <w:rFonts w:hint="eastAsia"/>
        </w:rPr>
        <w:t>To reduce SSB transmission for network energy saving, intra/inter-band SSB-less SCell has been introduced in NR. Furthermore, on-demand SSB is considered for connected mode UE to reduce SSB transmission in SCell in AI 9.5.1. To this end, SSB adaptation for RRC connected mode UEs has been sufficiently studied.</w:t>
      </w:r>
    </w:p>
    <w:p>
      <w:pPr>
        <w:pStyle w:val="60"/>
        <w:spacing w:before="120" w:after="120"/>
        <w:jc w:val="both"/>
        <w:rPr>
          <w:lang w:val="en-US" w:eastAsia="zh-CN"/>
        </w:rPr>
      </w:pPr>
      <w:bookmarkStart w:id="0" w:name="_Toc15629"/>
      <w:r>
        <w:rPr>
          <w:rFonts w:hint="eastAsia"/>
          <w:lang w:val="en-US" w:eastAsia="zh-CN"/>
        </w:rPr>
        <w:t>SSB adaptation for RRC connected mode UEs has been sufficiently studied from Rel-15 to Rel-19.</w:t>
      </w:r>
      <w:bookmarkEnd w:id="0"/>
    </w:p>
    <w:p>
      <w:pPr>
        <w:spacing w:before="120" w:after="120"/>
      </w:pPr>
      <w:r>
        <w:rPr>
          <w:rFonts w:hint="eastAsia"/>
        </w:rPr>
        <w:t xml:space="preserve">However, for RRC idle/inactive UEs, SSB periodicity for cell search is 20ms based on the restriction in current specification. To provide services to multiple UEs with different RRC modes in the cell, network needs to transmit SSB with the most stringent requirements in the specification. Therefore, the bottleneck of network energy saving is the SSB transmission pattern for RRC idle/inactive UEs. </w:t>
      </w:r>
    </w:p>
    <w:p>
      <w:pPr>
        <w:pStyle w:val="63"/>
        <w:spacing w:before="120" w:after="120"/>
        <w:jc w:val="both"/>
        <w:rPr>
          <w:lang w:val="en-US" w:eastAsia="zh-CN"/>
        </w:rPr>
      </w:pPr>
      <w:bookmarkStart w:id="1" w:name="_Toc7180"/>
      <w:r>
        <w:rPr>
          <w:rFonts w:hint="eastAsia"/>
          <w:lang w:val="en-US" w:eastAsia="zh-CN"/>
        </w:rPr>
        <w:t>SSB adaptation in time domain for idle/inactive UE should be prioritized.</w:t>
      </w:r>
      <w:bookmarkEnd w:id="1"/>
      <w:r>
        <w:rPr>
          <w:rFonts w:hint="eastAsia"/>
          <w:lang w:val="en-US" w:eastAsia="zh-CN"/>
        </w:rPr>
        <w:t xml:space="preserve">  </w:t>
      </w:r>
    </w:p>
    <w:p>
      <w:pPr>
        <w:spacing w:before="120" w:after="120"/>
        <w:rPr>
          <w:highlight w:val="yellow"/>
        </w:rPr>
      </w:pPr>
      <w:r>
        <w:rPr>
          <w:rFonts w:hint="eastAsia"/>
        </w:rPr>
        <w:t>RRC idle/inactive state UEs rely on SSB for ACG adjustment, synchronization acquisition, and RRM measurement. Therefore, how to minimize the impact of SSB adaptation on RRC idle/inactive state UEs can be considered.</w:t>
      </w:r>
    </w:p>
    <w:p>
      <w:pPr>
        <w:pStyle w:val="3"/>
        <w:spacing w:before="120" w:after="120"/>
        <w:ind w:left="991" w:right="210" w:hanging="991" w:hangingChars="354"/>
        <w:rPr>
          <w:rFonts w:eastAsia="宋体"/>
        </w:rPr>
      </w:pPr>
      <w:r>
        <w:rPr>
          <w:rFonts w:hint="eastAsia" w:eastAsia="宋体"/>
        </w:rPr>
        <w:t xml:space="preserve">Adaptation of SSB periodicity </w:t>
      </w:r>
    </w:p>
    <w:p>
      <w:pPr>
        <w:spacing w:before="120" w:after="120"/>
      </w:pPr>
      <w:r>
        <w:rPr>
          <w:rFonts w:hint="eastAsia"/>
        </w:rPr>
        <w:t xml:space="preserve">In current specification [3], UEs obtains SSB periodicity through </w:t>
      </w:r>
      <w:r>
        <w:rPr>
          <w:rFonts w:hint="eastAsia"/>
          <w:i/>
          <w:iCs/>
        </w:rPr>
        <w:t>ssb-periodicityServingCell</w:t>
      </w:r>
      <w:r>
        <w:rPr>
          <w:rFonts w:hint="eastAsia"/>
        </w:rPr>
        <w:t>, which can be set as a value from</w:t>
      </w:r>
      <w:r>
        <w:t xml:space="preserve"> </w:t>
      </w:r>
      <w:r>
        <w:rPr>
          <w:rFonts w:hint="eastAsia"/>
        </w:rPr>
        <w:t xml:space="preserve">{5ms, 10ms, 20ms, 80ms, 160ms}. When SSB periodicity adaptation is considered, one way is to use system information to inform the update. However, system information can be only updated in modification period, which is multiple of paging cycles. If SSB periodicity can be only updated via SIB, the latency is large. And large update latency will make it difficult to fit into the </w:t>
      </w:r>
      <w:r>
        <w:t>time-</w:t>
      </w:r>
      <w:r>
        <w:rPr>
          <w:rFonts w:hint="eastAsia"/>
        </w:rPr>
        <w:t>var</w:t>
      </w:r>
      <w:r>
        <w:t xml:space="preserve">ying </w:t>
      </w:r>
      <w:r>
        <w:rPr>
          <w:rFonts w:hint="eastAsia"/>
        </w:rPr>
        <w:t xml:space="preserve">cell load. Hence, it is beneficial to update the periodicity SSB more dynamically. As a result, DCI based SSB periodicity adapting can be considered. </w:t>
      </w:r>
    </w:p>
    <w:p>
      <w:pPr>
        <w:pStyle w:val="63"/>
        <w:spacing w:before="120" w:after="120"/>
        <w:jc w:val="both"/>
        <w:rPr>
          <w:lang w:val="en-US" w:eastAsia="zh-CN"/>
        </w:rPr>
      </w:pPr>
      <w:bookmarkStart w:id="2" w:name="_Toc16618"/>
      <w:r>
        <w:rPr>
          <w:rFonts w:hint="eastAsia"/>
          <w:lang w:val="en-US" w:eastAsia="zh-CN"/>
        </w:rPr>
        <w:t>Dynamic SSB periodicity adaptation can be considered.</w:t>
      </w:r>
      <w:bookmarkEnd w:id="2"/>
    </w:p>
    <w:p>
      <w:pPr>
        <w:pStyle w:val="2"/>
        <w:spacing w:before="120" w:after="120"/>
        <w:ind w:left="0"/>
      </w:pPr>
      <w:r>
        <w:rPr>
          <w:rFonts w:hint="eastAsia" w:eastAsia="宋体"/>
        </w:rPr>
        <w:t xml:space="preserve">Adaptation of PRACH in time domain  </w:t>
      </w:r>
      <w:r>
        <w:rPr>
          <w:rFonts w:eastAsia="宋体"/>
        </w:rPr>
        <w:t xml:space="preserve"> </w:t>
      </w:r>
      <w:bookmarkStart w:id="3" w:name="_Toc525"/>
      <w:bookmarkEnd w:id="3"/>
      <w:bookmarkStart w:id="4" w:name="_Toc29089"/>
      <w:bookmarkEnd w:id="4"/>
      <w:bookmarkStart w:id="5" w:name="_Toc82"/>
      <w:bookmarkEnd w:id="5"/>
      <w:bookmarkStart w:id="6" w:name="_Toc29400"/>
      <w:bookmarkEnd w:id="6"/>
    </w:p>
    <w:p>
      <w:pPr>
        <w:pStyle w:val="3"/>
        <w:spacing w:before="120" w:after="120"/>
        <w:ind w:left="991" w:right="210" w:hanging="991" w:hangingChars="354"/>
        <w:rPr>
          <w:rFonts w:eastAsia="宋体"/>
        </w:rPr>
      </w:pPr>
      <w:r>
        <w:rPr>
          <w:rFonts w:hint="eastAsia" w:eastAsia="宋体"/>
        </w:rPr>
        <w:t>PRACH occasions pattern</w:t>
      </w:r>
    </w:p>
    <w:p>
      <w:pPr>
        <w:spacing w:before="120" w:after="120"/>
        <w:rPr>
          <w:szCs w:val="21"/>
        </w:rPr>
      </w:pPr>
      <w:r>
        <w:rPr>
          <w:rFonts w:hint="eastAsia"/>
          <w:szCs w:val="21"/>
        </w:rPr>
        <w:t xml:space="preserve">In current specification [4], the PRACH occasion patterns are captured in Table 6.3.3.2-2 to 6.3.3.2-4. And the PRACH configuration can be characterized by a large periodicity (e.g., 80ms, 160ms) with only a few subframes comprising PRACH occasions, as shown in Figure 1(a). Whereas, the PRACH configuration also supports a small periodicity (e.g., 10ms, 20ms and 40ms) with variable subframes for PRACH occasions, as shown in Figure 1(b). </w:t>
      </w:r>
    </w:p>
    <w:tbl>
      <w:tblPr>
        <w:tblStyle w:val="26"/>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43"/>
        <w:gridCol w:w="518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90" w:hRule="atLeast"/>
          <w:jc w:val="center"/>
        </w:trPr>
        <w:tc>
          <w:tcPr>
            <w:tcW w:w="4643" w:type="dxa"/>
          </w:tcPr>
          <w:p>
            <w:pPr>
              <w:spacing w:before="120" w:after="120"/>
            </w:pPr>
            <w:r>
              <w:rPr>
                <w:rFonts w:hint="eastAsia"/>
              </w:rPr>
              <w:drawing>
                <wp:inline distT="0" distB="0" distL="114300" distR="114300">
                  <wp:extent cx="2807335" cy="1045845"/>
                  <wp:effectExtent l="0" t="0" r="0" b="1905"/>
                  <wp:docPr id="6" name="图片 6" descr="第一类单subframe配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第一类单subframe配置"/>
                          <pic:cNvPicPr>
                            <a:picLocks noChangeAspect="1"/>
                          </pic:cNvPicPr>
                        </pic:nvPicPr>
                        <pic:blipFill>
                          <a:blip r:embed="rId12"/>
                          <a:stretch>
                            <a:fillRect/>
                          </a:stretch>
                        </pic:blipFill>
                        <pic:spPr>
                          <a:xfrm>
                            <a:off x="0" y="0"/>
                            <a:ext cx="2807335" cy="1045845"/>
                          </a:xfrm>
                          <a:prstGeom prst="rect">
                            <a:avLst/>
                          </a:prstGeom>
                        </pic:spPr>
                      </pic:pic>
                    </a:graphicData>
                  </a:graphic>
                </wp:inline>
              </w:drawing>
            </w:r>
          </w:p>
        </w:tc>
        <w:tc>
          <w:tcPr>
            <w:tcW w:w="4643" w:type="dxa"/>
          </w:tcPr>
          <w:p>
            <w:pPr>
              <w:spacing w:before="120" w:after="120"/>
            </w:pPr>
            <w:r>
              <w:rPr>
                <w:rFonts w:hint="eastAsia"/>
              </w:rPr>
              <w:drawing>
                <wp:inline distT="0" distB="0" distL="114300" distR="114300">
                  <wp:extent cx="3152775" cy="1140460"/>
                  <wp:effectExtent l="0" t="0" r="0" b="2540"/>
                  <wp:docPr id="7" name="图片 7" descr="第一类多subframe配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第一类多subframe配置"/>
                          <pic:cNvPicPr>
                            <a:picLocks noChangeAspect="1"/>
                          </pic:cNvPicPr>
                        </pic:nvPicPr>
                        <pic:blipFill>
                          <a:blip r:embed="rId13"/>
                          <a:stretch>
                            <a:fillRect/>
                          </a:stretch>
                        </pic:blipFill>
                        <pic:spPr>
                          <a:xfrm>
                            <a:off x="0" y="0"/>
                            <a:ext cx="3152775" cy="1140460"/>
                          </a:xfrm>
                          <a:prstGeom prst="rect">
                            <a:avLst/>
                          </a:prstGeom>
                        </pic:spPr>
                      </pic:pic>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643" w:type="dxa"/>
          </w:tcPr>
          <w:p>
            <w:pPr>
              <w:numPr>
                <w:ilvl w:val="0"/>
                <w:numId w:val="6"/>
              </w:numPr>
              <w:spacing w:before="120" w:after="120"/>
              <w:jc w:val="center"/>
              <w:rPr>
                <w:szCs w:val="21"/>
              </w:rPr>
            </w:pPr>
            <w:r>
              <w:rPr>
                <w:rFonts w:hint="eastAsia"/>
                <w:szCs w:val="21"/>
              </w:rPr>
              <w:t>PRACH configuration with larger periodicity</w:t>
            </w:r>
          </w:p>
        </w:tc>
        <w:tc>
          <w:tcPr>
            <w:tcW w:w="4643" w:type="dxa"/>
          </w:tcPr>
          <w:p>
            <w:pPr>
              <w:spacing w:before="120" w:after="120"/>
              <w:jc w:val="center"/>
              <w:rPr>
                <w:szCs w:val="21"/>
              </w:rPr>
            </w:pPr>
            <w:r>
              <w:rPr>
                <w:rFonts w:hint="eastAsia"/>
                <w:szCs w:val="21"/>
              </w:rPr>
              <w:t>(b) PRACH configuration with smaller periodicity</w:t>
            </w:r>
          </w:p>
        </w:tc>
      </w:tr>
    </w:tbl>
    <w:p>
      <w:pPr>
        <w:spacing w:before="120" w:after="120"/>
        <w:jc w:val="center"/>
        <w:rPr>
          <w:szCs w:val="21"/>
        </w:rPr>
      </w:pPr>
      <w:r>
        <w:rPr>
          <w:rFonts w:hint="eastAsia"/>
          <w:szCs w:val="21"/>
        </w:rPr>
        <w:t>Figure 1 PRACH configurations in current specification</w:t>
      </w:r>
    </w:p>
    <w:p>
      <w:pPr>
        <w:spacing w:before="120" w:after="120"/>
        <w:rPr>
          <w:szCs w:val="21"/>
        </w:rPr>
      </w:pPr>
      <w:r>
        <w:rPr>
          <w:rFonts w:hint="eastAsia"/>
          <w:szCs w:val="21"/>
        </w:rPr>
        <w:t xml:space="preserve">In our opinion, it is not feasible for current PRACH configuration to harvest network energy saving gain and meanwhile make sure </w:t>
      </w:r>
      <w:r>
        <w:rPr>
          <w:rFonts w:hint="eastAsia"/>
          <w:szCs w:val="21"/>
          <w:lang w:val="en-US" w:eastAsia="zh-CN"/>
        </w:rPr>
        <w:t xml:space="preserve">impact on preamble </w:t>
      </w:r>
      <w:r>
        <w:rPr>
          <w:rFonts w:hint="eastAsia"/>
          <w:szCs w:val="21"/>
        </w:rPr>
        <w:t xml:space="preserve">collision, </w:t>
      </w:r>
      <w:r>
        <w:rPr>
          <w:rFonts w:hint="eastAsia"/>
          <w:szCs w:val="21"/>
          <w:lang w:val="en-US" w:eastAsia="zh-CN"/>
        </w:rPr>
        <w:t xml:space="preserve">as well as </w:t>
      </w:r>
      <w:r>
        <w:rPr>
          <w:rFonts w:hint="eastAsia"/>
          <w:szCs w:val="21"/>
        </w:rPr>
        <w:t>access delay</w:t>
      </w:r>
      <w:r>
        <w:rPr>
          <w:rFonts w:hint="eastAsia"/>
          <w:szCs w:val="21"/>
        </w:rPr>
        <w:t xml:space="preserve"> </w:t>
      </w:r>
      <w:r>
        <w:rPr>
          <w:szCs w:val="21"/>
        </w:rPr>
        <w:t>impact</w:t>
      </w:r>
      <w:r>
        <w:rPr>
          <w:rFonts w:hint="eastAsia"/>
          <w:szCs w:val="21"/>
          <w:lang w:val="en-US" w:eastAsia="zh-CN"/>
        </w:rPr>
        <w:t xml:space="preserve"> etc.,</w:t>
      </w:r>
      <w:r>
        <w:rPr>
          <w:szCs w:val="21"/>
        </w:rPr>
        <w:t xml:space="preserve"> </w:t>
      </w:r>
      <w:r>
        <w:rPr>
          <w:rFonts w:hint="eastAsia"/>
          <w:szCs w:val="21"/>
          <w:lang w:val="en-US" w:eastAsia="zh-CN"/>
        </w:rPr>
        <w:t xml:space="preserve">is </w:t>
      </w:r>
      <w:r>
        <w:rPr>
          <w:szCs w:val="21"/>
        </w:rPr>
        <w:t>limited</w:t>
      </w:r>
      <w:r>
        <w:rPr>
          <w:rFonts w:hint="eastAsia"/>
          <w:szCs w:val="21"/>
        </w:rPr>
        <w:t xml:space="preserve"> to the least</w:t>
      </w:r>
      <w:r>
        <w:rPr>
          <w:rFonts w:hint="eastAsia"/>
          <w:szCs w:val="21"/>
        </w:rPr>
        <w:t>. From the perspective of the PRACH configuration mentioned in Figure 1(a), the PRACH configuration of sparse PRACH occasions has large impact on collision of preambles and access delay although there exist</w:t>
      </w:r>
      <w:r>
        <w:rPr>
          <w:szCs w:val="21"/>
        </w:rPr>
        <w:t>s</w:t>
      </w:r>
      <w:r>
        <w:rPr>
          <w:rFonts w:hint="eastAsia"/>
          <w:szCs w:val="21"/>
        </w:rPr>
        <w:t xml:space="preserve"> long period for gNB to go to sleep. While from the perspective of the PRACH configuration mentioned in Figure 1(b), the PRACH configuration of dense PRACH occasions may mitigate the collision of preambles and reduce the access delay, but the sleep opportunities for gNB are reduced.</w:t>
      </w:r>
    </w:p>
    <w:p>
      <w:pPr>
        <w:pStyle w:val="60"/>
        <w:spacing w:before="120" w:after="120"/>
        <w:jc w:val="both"/>
        <w:rPr>
          <w:lang w:val="en-US" w:eastAsia="zh-CN"/>
        </w:rPr>
      </w:pPr>
      <w:bookmarkStart w:id="7" w:name="_Toc12273"/>
      <w:r>
        <w:rPr>
          <w:rFonts w:hint="eastAsia"/>
          <w:lang w:val="en-US" w:eastAsia="zh-CN"/>
        </w:rPr>
        <w:t>PRACH configurations in current specification cannot achieve network energy saving and good RACH capacity at the same time.</w:t>
      </w:r>
      <w:bookmarkEnd w:id="7"/>
    </w:p>
    <w:p>
      <w:pPr>
        <w:spacing w:before="120" w:after="120"/>
        <w:rPr>
          <w:szCs w:val="21"/>
        </w:rPr>
      </w:pPr>
      <w:r>
        <w:rPr>
          <w:rFonts w:hint="eastAsia"/>
          <w:szCs w:val="21"/>
        </w:rPr>
        <w:t xml:space="preserve">Therefore, a PRACH configuration of new PRACH occasions pattern, as depicted in Figure 2, is considered for balance between network energy saving and random access performance. From our perspective, the characteristic of PRACH configuration of new PRACH occasions pattern includes e.g., (a) the periodicity of the PRACH configuration can be enlarged above 160 ms, (b) there are a number of compact subframes for PRACH occasions gathering in a short time duration within one PRACH configuration period, (c) some legacy PRACH occasions are included in new PRACH configuration to reduce the impact of legacy UE, and (d) support that maximum PRACH occasions number in frequency domain can be above 8. </w:t>
      </w:r>
    </w:p>
    <w:p>
      <w:pPr>
        <w:spacing w:before="120" w:after="120"/>
      </w:pPr>
      <w:r>
        <w:drawing>
          <wp:inline distT="0" distB="0" distL="114300" distR="114300">
            <wp:extent cx="6129655" cy="1641475"/>
            <wp:effectExtent l="0" t="0" r="4445" b="158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6129655" cy="1641475"/>
                    </a:xfrm>
                    <a:prstGeom prst="rect">
                      <a:avLst/>
                    </a:prstGeom>
                    <a:noFill/>
                    <a:ln>
                      <a:noFill/>
                    </a:ln>
                  </pic:spPr>
                </pic:pic>
              </a:graphicData>
            </a:graphic>
          </wp:inline>
        </w:drawing>
      </w:r>
    </w:p>
    <w:p>
      <w:pPr>
        <w:spacing w:before="120" w:after="120"/>
        <w:jc w:val="center"/>
      </w:pPr>
      <w:r>
        <w:rPr>
          <w:rFonts w:hint="eastAsia"/>
        </w:rPr>
        <w:t xml:space="preserve">Figure 2 </w:t>
      </w:r>
      <w:r>
        <w:t>N</w:t>
      </w:r>
      <w:r>
        <w:rPr>
          <w:rFonts w:hint="eastAsia"/>
        </w:rPr>
        <w:t>ew PRACH configuration for network energy saving</w:t>
      </w:r>
    </w:p>
    <w:p>
      <w:pPr>
        <w:pStyle w:val="63"/>
        <w:spacing w:before="120" w:after="120"/>
        <w:jc w:val="both"/>
        <w:rPr>
          <w:lang w:val="en-US" w:eastAsia="zh-CN"/>
        </w:rPr>
      </w:pPr>
      <w:bookmarkStart w:id="8" w:name="_Toc16337"/>
      <w:r>
        <w:rPr>
          <w:rFonts w:hint="eastAsia"/>
          <w:lang w:val="en-US" w:eastAsia="zh-CN"/>
        </w:rPr>
        <w:t>Specify new PRACH configurations to harvest network energy saving gain and meanwhile make sure that impact on preamble collision</w:t>
      </w:r>
      <w:r>
        <w:rPr>
          <w:lang w:val="en-US" w:eastAsia="zh-CN"/>
        </w:rPr>
        <w:t xml:space="preserve"> and</w:t>
      </w:r>
      <w:r>
        <w:rPr>
          <w:rFonts w:hint="eastAsia"/>
          <w:lang w:val="en-US" w:eastAsia="zh-CN"/>
        </w:rPr>
        <w:t xml:space="preserve"> access delay is </w:t>
      </w:r>
      <w:r>
        <w:rPr>
          <w:lang w:val="en-US" w:eastAsia="zh-CN"/>
        </w:rPr>
        <w:t xml:space="preserve">limited </w:t>
      </w:r>
      <w:r>
        <w:rPr>
          <w:rFonts w:hint="eastAsia"/>
          <w:lang w:val="en-US" w:eastAsia="zh-CN"/>
        </w:rPr>
        <w:t>to the least, with characteristic of, e.g.:</w:t>
      </w:r>
      <w:bookmarkEnd w:id="8"/>
      <w:r>
        <w:rPr>
          <w:rFonts w:hint="eastAsia"/>
          <w:lang w:val="en-US" w:eastAsia="zh-CN"/>
        </w:rPr>
        <w:t xml:space="preserve"> </w:t>
      </w:r>
    </w:p>
    <w:p>
      <w:pPr>
        <w:pStyle w:val="63"/>
        <w:numPr>
          <w:ilvl w:val="0"/>
          <w:numId w:val="7"/>
        </w:numPr>
        <w:spacing w:before="120" w:after="120"/>
        <w:jc w:val="both"/>
        <w:rPr>
          <w:lang w:val="en-US" w:eastAsia="zh-CN"/>
        </w:rPr>
      </w:pPr>
      <w:bookmarkStart w:id="9" w:name="_Toc6663"/>
      <w:r>
        <w:rPr>
          <w:rFonts w:hint="eastAsia"/>
          <w:lang w:val="en-US" w:eastAsia="zh-CN"/>
        </w:rPr>
        <w:t>larger PRACH configuration period, e.g., above 160 ms.</w:t>
      </w:r>
      <w:bookmarkEnd w:id="9"/>
    </w:p>
    <w:p>
      <w:pPr>
        <w:pStyle w:val="63"/>
        <w:numPr>
          <w:ilvl w:val="0"/>
          <w:numId w:val="7"/>
        </w:numPr>
        <w:spacing w:before="120" w:after="120"/>
        <w:jc w:val="both"/>
        <w:rPr>
          <w:lang w:val="en-US" w:eastAsia="zh-CN"/>
        </w:rPr>
      </w:pPr>
      <w:bookmarkStart w:id="10" w:name="_Toc26704"/>
      <w:r>
        <w:rPr>
          <w:rFonts w:hint="eastAsia"/>
          <w:lang w:val="en-US" w:eastAsia="zh-CN"/>
        </w:rPr>
        <w:t>compact subframes for PRACH occasions within one PRACH configuration period.</w:t>
      </w:r>
      <w:bookmarkEnd w:id="10"/>
    </w:p>
    <w:p>
      <w:pPr>
        <w:pStyle w:val="63"/>
        <w:numPr>
          <w:ilvl w:val="0"/>
          <w:numId w:val="7"/>
        </w:numPr>
        <w:spacing w:before="120" w:after="120"/>
        <w:jc w:val="both"/>
        <w:rPr>
          <w:lang w:val="en-US" w:eastAsia="zh-CN"/>
        </w:rPr>
      </w:pPr>
      <w:bookmarkStart w:id="11" w:name="_Toc424"/>
      <w:r>
        <w:rPr>
          <w:lang w:val="en-US" w:eastAsia="zh-CN"/>
        </w:rPr>
        <w:t>backward</w:t>
      </w:r>
      <w:r>
        <w:rPr>
          <w:rFonts w:hint="eastAsia"/>
          <w:lang w:val="en-US" w:eastAsia="zh-CN"/>
        </w:rPr>
        <w:t xml:space="preserve"> compatibility, e.g., comprising some </w:t>
      </w:r>
      <w:r>
        <w:rPr>
          <w:lang w:val="en-US" w:eastAsia="zh-CN"/>
        </w:rPr>
        <w:t xml:space="preserve">legacy </w:t>
      </w:r>
      <w:r>
        <w:rPr>
          <w:rFonts w:hint="eastAsia"/>
          <w:lang w:val="en-US" w:eastAsia="zh-CN"/>
        </w:rPr>
        <w:t>PRACH occasions in new PRACH configuration.</w:t>
      </w:r>
      <w:bookmarkEnd w:id="11"/>
    </w:p>
    <w:p>
      <w:pPr>
        <w:pStyle w:val="63"/>
        <w:numPr>
          <w:ilvl w:val="0"/>
          <w:numId w:val="7"/>
        </w:numPr>
        <w:spacing w:before="120" w:after="120"/>
        <w:jc w:val="both"/>
        <w:rPr>
          <w:lang w:val="en-US" w:eastAsia="zh-CN"/>
        </w:rPr>
      </w:pPr>
      <w:bookmarkStart w:id="12" w:name="_Toc6200"/>
      <w:r>
        <w:rPr>
          <w:rFonts w:hint="eastAsia"/>
          <w:lang w:val="en-US" w:eastAsia="zh-CN"/>
        </w:rPr>
        <w:t xml:space="preserve">larger supported maximum PRACH occasions number in frequency domain, e.g., </w:t>
      </w:r>
      <w:r>
        <w:rPr>
          <w:lang w:val="en-US" w:eastAsia="zh-CN"/>
        </w:rPr>
        <w:t>more than</w:t>
      </w:r>
      <w:r>
        <w:rPr>
          <w:rFonts w:hint="eastAsia"/>
          <w:lang w:val="en-US" w:eastAsia="zh-CN"/>
        </w:rPr>
        <w:t xml:space="preserve"> 8.</w:t>
      </w:r>
      <w:bookmarkEnd w:id="12"/>
    </w:p>
    <w:p>
      <w:pPr>
        <w:spacing w:before="120" w:after="120"/>
        <w:rPr>
          <w:szCs w:val="21"/>
        </w:rPr>
      </w:pPr>
      <w:r>
        <w:rPr>
          <w:rFonts w:hint="eastAsia"/>
          <w:szCs w:val="21"/>
        </w:rPr>
        <w:t xml:space="preserve">Moreover, as for adaptation of PRACH in spatial domain, the motivation and benefit should be clarified firstly.  </w:t>
      </w:r>
    </w:p>
    <w:p>
      <w:pPr>
        <w:pStyle w:val="3"/>
        <w:spacing w:before="120" w:after="120"/>
        <w:ind w:left="991" w:right="210" w:hanging="991" w:hangingChars="354"/>
      </w:pPr>
      <w:r>
        <w:rPr>
          <w:rFonts w:hint="eastAsia" w:eastAsia="宋体"/>
        </w:rPr>
        <w:t>PRACH configuration adaptation</w:t>
      </w:r>
    </w:p>
    <w:p>
      <w:pPr>
        <w:spacing w:before="120" w:after="120"/>
        <w:rPr>
          <w:szCs w:val="21"/>
        </w:rPr>
      </w:pPr>
      <w:r>
        <w:rPr>
          <w:rFonts w:hint="eastAsia"/>
          <w:szCs w:val="21"/>
        </w:rPr>
        <w:t xml:space="preserve">To enable gNB to switch PRACH configuration in the certain situation for network energy saving or relieve PRACH collision, PRACH configuration adaptation in different situations (e.g., depending on system load) is helpful. </w:t>
      </w:r>
    </w:p>
    <w:p>
      <w:pPr>
        <w:spacing w:before="120" w:after="120"/>
        <w:rPr>
          <w:szCs w:val="21"/>
        </w:rPr>
      </w:pPr>
      <w:r>
        <w:rPr>
          <w:rFonts w:hint="eastAsia"/>
          <w:szCs w:val="21"/>
        </w:rPr>
        <w:t>First of all, the use cases of PRACH configuration adaptation should be clarified. For RRC idle/inactive state UEs, PRACH occasions are used for random access. For RRC connected UEs PRACH occasions are used for beam failure recovery. As it is discussed in section 2.1, network energy saving gain is limited by the strict</w:t>
      </w:r>
      <w:r>
        <w:rPr>
          <w:szCs w:val="21"/>
        </w:rPr>
        <w:t>est</w:t>
      </w:r>
      <w:r>
        <w:rPr>
          <w:rFonts w:hint="eastAsia"/>
          <w:szCs w:val="21"/>
        </w:rPr>
        <w:t xml:space="preserve"> requirements. Therefore, the use case of PRACH configuration adaptation should include at least PRACH occasion for random access.</w:t>
      </w:r>
    </w:p>
    <w:p>
      <w:pPr>
        <w:pStyle w:val="63"/>
        <w:spacing w:before="120" w:after="120"/>
        <w:jc w:val="both"/>
        <w:rPr>
          <w:lang w:val="en-US" w:eastAsia="zh-CN"/>
        </w:rPr>
      </w:pPr>
      <w:bookmarkStart w:id="13" w:name="_Toc7980"/>
      <w:r>
        <w:rPr>
          <w:rFonts w:hint="eastAsia"/>
          <w:lang w:val="en-US" w:eastAsia="zh-CN"/>
        </w:rPr>
        <w:t>The use cases of PRACH configuration adaptation should include at least PRACH occasion for random access.</w:t>
      </w:r>
      <w:bookmarkEnd w:id="13"/>
    </w:p>
    <w:p>
      <w:pPr>
        <w:spacing w:before="120" w:after="120"/>
        <w:rPr>
          <w:sz w:val="20"/>
        </w:rPr>
      </w:pPr>
      <w:r>
        <w:rPr>
          <w:rFonts w:hint="eastAsia"/>
          <w:szCs w:val="21"/>
        </w:rPr>
        <w:t xml:space="preserve">In current specification [3], the determination of the PRACH configuration is by the </w:t>
      </w:r>
      <w:r>
        <w:rPr>
          <w:rFonts w:hint="eastAsia"/>
          <w:i/>
          <w:iCs/>
          <w:szCs w:val="21"/>
        </w:rPr>
        <w:t>prach-configuraionIndex</w:t>
      </w:r>
      <w:r>
        <w:rPr>
          <w:rFonts w:hint="eastAsia"/>
          <w:szCs w:val="21"/>
        </w:rPr>
        <w:t xml:space="preserve"> in SIB1 or in the high layer parameters, including e.g., </w:t>
      </w:r>
      <w:r>
        <w:rPr>
          <w:rFonts w:hint="eastAsia"/>
          <w:i/>
          <w:iCs/>
          <w:szCs w:val="21"/>
        </w:rPr>
        <w:t xml:space="preserve">ServingCellConfigCommon </w:t>
      </w:r>
      <w:r>
        <w:rPr>
          <w:rFonts w:hint="eastAsia"/>
          <w:szCs w:val="21"/>
        </w:rPr>
        <w:t xml:space="preserve">and </w:t>
      </w:r>
      <w:r>
        <w:rPr>
          <w:rFonts w:hint="eastAsia"/>
          <w:i/>
          <w:iCs/>
          <w:szCs w:val="21"/>
        </w:rPr>
        <w:t>BeamFailureRecoveryConfig</w:t>
      </w:r>
      <w:r>
        <w:rPr>
          <w:rFonts w:hint="eastAsia"/>
          <w:szCs w:val="21"/>
        </w:rPr>
        <w:t xml:space="preserve">. Base stations can achieve PRACH adaptation in time domain by update of SIB1 for idle/inactive UEs or the high layer parameters for connected mode UEs. However, gNB will expect to have a fast way to adapt the PRACH configuration for energy saving when possible. For instance, when gNB is aware that there are few UEs in the cell, it can switch to </w:t>
      </w:r>
      <w:r>
        <w:rPr>
          <w:rFonts w:hint="eastAsia"/>
          <w:sz w:val="21"/>
          <w:szCs w:val="21"/>
        </w:rPr>
        <w:t>more energy-efficient PRACH configuration quickly. In these cases, a fast and dynamic indication is needed</w:t>
      </w:r>
      <w:r>
        <w:rPr>
          <w:rFonts w:hint="eastAsia"/>
          <w:sz w:val="20"/>
        </w:rPr>
        <w:t>.</w:t>
      </w:r>
    </w:p>
    <w:p>
      <w:pPr>
        <w:spacing w:before="120" w:after="120"/>
        <w:rPr>
          <w:rFonts w:eastAsia="Times New Roman"/>
          <w:b/>
          <w:bCs/>
          <w:szCs w:val="21"/>
        </w:rPr>
      </w:pPr>
      <w:r>
        <w:rPr>
          <w:rFonts w:hint="eastAsia"/>
          <w:szCs w:val="21"/>
        </w:rPr>
        <w:t>Therefore, the alternatives of adaptation PRACH in time domain can be summarized as follows:</w:t>
      </w:r>
    </w:p>
    <w:p>
      <w:pPr>
        <w:numPr>
          <w:ilvl w:val="0"/>
          <w:numId w:val="8"/>
        </w:numPr>
        <w:spacing w:before="120" w:after="120"/>
        <w:rPr>
          <w:rFonts w:eastAsia="Times New Roman"/>
          <w:b/>
          <w:bCs/>
          <w:szCs w:val="21"/>
        </w:rPr>
      </w:pPr>
      <w:r>
        <w:rPr>
          <w:rFonts w:hint="eastAsia" w:eastAsia="Times New Roman"/>
          <w:b/>
          <w:bCs/>
          <w:szCs w:val="21"/>
        </w:rPr>
        <w:t xml:space="preserve">Alt 1: </w:t>
      </w:r>
      <w:r>
        <w:rPr>
          <w:rFonts w:hint="eastAsia" w:eastAsia="Times New Roman"/>
          <w:szCs w:val="21"/>
        </w:rPr>
        <w:t>MAC CE based PRACH configuration adaptation</w:t>
      </w:r>
    </w:p>
    <w:p>
      <w:pPr>
        <w:numPr>
          <w:ilvl w:val="0"/>
          <w:numId w:val="8"/>
        </w:numPr>
        <w:spacing w:before="120" w:after="120"/>
        <w:rPr>
          <w:rFonts w:eastAsia="Times New Roman"/>
          <w:szCs w:val="21"/>
        </w:rPr>
      </w:pPr>
      <w:r>
        <w:rPr>
          <w:rFonts w:hint="eastAsia" w:eastAsia="Times New Roman"/>
          <w:b/>
          <w:bCs/>
          <w:szCs w:val="21"/>
        </w:rPr>
        <w:t>Alt 2:</w:t>
      </w:r>
      <w:r>
        <w:rPr>
          <w:rFonts w:hint="eastAsia" w:eastAsia="Times New Roman"/>
          <w:szCs w:val="21"/>
        </w:rPr>
        <w:t xml:space="preserve"> DCI based PRACH configuration adaptation</w:t>
      </w:r>
      <w:r>
        <w:rPr>
          <w:rFonts w:hint="eastAsia" w:eastAsia="Times New Roman"/>
          <w:b/>
          <w:bCs/>
          <w:szCs w:val="21"/>
        </w:rPr>
        <w:t xml:space="preserve">. </w:t>
      </w:r>
    </w:p>
    <w:p>
      <w:pPr>
        <w:spacing w:before="120" w:after="120"/>
        <w:rPr>
          <w:szCs w:val="21"/>
        </w:rPr>
      </w:pPr>
      <w:r>
        <w:rPr>
          <w:rFonts w:hint="eastAsia"/>
          <w:szCs w:val="21"/>
        </w:rPr>
        <w:t xml:space="preserve">Among these two alternatives, considering there is no MAC CE transmission for idle/inactive UEs, it is more feasible for idle/inactive UEs to consider DCI based PRACH configuration adaptation. For Alt 2, the DCI based indication can be based on the system information or the high layer parameter. For example, multiple candidate PRACH configurations can be configured in the system information/high layer parameter, and gNB can select one candidate through DCI. To this end, the system information/high layer parameter plus DCI based PRACH configuration adaptation is preferred from our perspective. </w:t>
      </w:r>
    </w:p>
    <w:p>
      <w:pPr>
        <w:pStyle w:val="63"/>
        <w:spacing w:before="120" w:after="120"/>
        <w:jc w:val="both"/>
        <w:rPr>
          <w:lang w:val="en-US" w:eastAsia="zh-CN"/>
        </w:rPr>
      </w:pPr>
      <w:r>
        <w:rPr>
          <w:rFonts w:hint="eastAsia"/>
          <w:lang w:val="en-US" w:eastAsia="zh-CN"/>
        </w:rPr>
        <w:t xml:space="preserve"> </w:t>
      </w:r>
      <w:bookmarkStart w:id="14" w:name="_Toc4889"/>
      <w:r>
        <w:rPr>
          <w:rFonts w:hint="eastAsia"/>
          <w:lang w:val="en-US" w:eastAsia="zh-CN"/>
        </w:rPr>
        <w:t>DCI based PRACH configuration adaptation mechanism can be considered for the PRACH configuration adaptation.</w:t>
      </w:r>
      <w:bookmarkEnd w:id="14"/>
      <w:r>
        <w:rPr>
          <w:rFonts w:hint="eastAsia"/>
          <w:lang w:val="en-US" w:eastAsia="zh-CN"/>
        </w:rPr>
        <w:t xml:space="preserve"> </w:t>
      </w:r>
    </w:p>
    <w:p>
      <w:pPr>
        <w:pStyle w:val="2"/>
        <w:spacing w:before="120" w:after="120"/>
        <w:ind w:left="0"/>
        <w:rPr>
          <w:rFonts w:eastAsia="宋体"/>
        </w:rPr>
      </w:pPr>
      <w:r>
        <w:t>Adaptation of paging occasions</w:t>
      </w:r>
      <w:r>
        <w:rPr>
          <w:rFonts w:hint="eastAsia"/>
        </w:rPr>
        <w:t xml:space="preserve"> in the time domain</w:t>
      </w:r>
    </w:p>
    <w:p>
      <w:pPr>
        <w:pStyle w:val="3"/>
        <w:spacing w:before="120" w:after="120"/>
        <w:ind w:left="991" w:right="210" w:hanging="991" w:hangingChars="354"/>
        <w:rPr>
          <w:rFonts w:eastAsia="宋体"/>
        </w:rPr>
      </w:pPr>
      <w:r>
        <w:rPr>
          <w:rFonts w:hint="eastAsia" w:eastAsia="宋体"/>
        </w:rPr>
        <w:t>Paging occasions pattern</w:t>
      </w:r>
    </w:p>
    <w:p>
      <w:pPr>
        <w:spacing w:before="120" w:after="120"/>
        <w:rPr>
          <w:szCs w:val="21"/>
        </w:rPr>
      </w:pPr>
      <w:r>
        <w:rPr>
          <w:rFonts w:hint="eastAsia"/>
          <w:szCs w:val="21"/>
        </w:rPr>
        <w:t>In current specification [5], the paging occasions is determined by two formulas as follows: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120" w:after="120"/>
              <w:rPr>
                <w:b/>
                <w:bCs/>
                <w:szCs w:val="21"/>
              </w:rPr>
            </w:pPr>
            <w:r>
              <w:rPr>
                <w:rFonts w:hint="eastAsia"/>
                <w:b/>
                <w:bCs/>
                <w:szCs w:val="21"/>
              </w:rPr>
              <w:t>TS 38.304</w:t>
            </w:r>
          </w:p>
          <w:p>
            <w:pPr>
              <w:spacing w:before="120" w:after="120"/>
              <w:rPr>
                <w:szCs w:val="21"/>
              </w:rPr>
            </w:pPr>
            <w:r>
              <w:rPr>
                <w:szCs w:val="21"/>
              </w:rPr>
              <w:t>The PF and PO for paging are determined by the following formulae:</w:t>
            </w:r>
          </w:p>
          <w:p>
            <w:pPr>
              <w:pStyle w:val="66"/>
              <w:spacing w:before="120" w:after="120"/>
              <w:rPr>
                <w:szCs w:val="21"/>
              </w:rPr>
            </w:pPr>
            <w:r>
              <w:rPr>
                <w:szCs w:val="21"/>
              </w:rPr>
              <w:t>SFN for the PF is determined by:</w:t>
            </w:r>
          </w:p>
          <w:p>
            <w:pPr>
              <w:pStyle w:val="67"/>
              <w:spacing w:before="120" w:after="120"/>
              <w:rPr>
                <w:szCs w:val="21"/>
              </w:rPr>
            </w:pPr>
            <w:r>
              <w:rPr>
                <w:i/>
                <w:iCs/>
                <w:szCs w:val="21"/>
              </w:rPr>
              <w:t>(SFN + PF_offset) mod T = (T div N)*(UE_ID mod N)</w:t>
            </w:r>
            <w:r>
              <w:rPr>
                <w:rFonts w:hint="eastAsia"/>
                <w:i/>
                <w:iCs/>
                <w:szCs w:val="21"/>
              </w:rPr>
              <w:t xml:space="preserve">  </w:t>
            </w:r>
            <w:r>
              <w:rPr>
                <w:rFonts w:hint="eastAsia"/>
                <w:szCs w:val="21"/>
              </w:rPr>
              <w:t xml:space="preserve">       (1)</w:t>
            </w:r>
          </w:p>
          <w:p>
            <w:pPr>
              <w:pStyle w:val="66"/>
              <w:spacing w:before="120" w:after="120"/>
              <w:rPr>
                <w:szCs w:val="21"/>
              </w:rPr>
            </w:pPr>
            <w:r>
              <w:rPr>
                <w:szCs w:val="21"/>
              </w:rPr>
              <w:t>Index (</w:t>
            </w:r>
            <w:r>
              <w:rPr>
                <w:i/>
                <w:iCs/>
                <w:szCs w:val="21"/>
              </w:rPr>
              <w:t>i_s</w:t>
            </w:r>
            <w:r>
              <w:rPr>
                <w:szCs w:val="21"/>
              </w:rPr>
              <w:t>), indicating the index of the PO is determined by:</w:t>
            </w:r>
          </w:p>
          <w:p>
            <w:pPr>
              <w:pStyle w:val="67"/>
              <w:spacing w:before="120" w:after="120"/>
              <w:rPr>
                <w:szCs w:val="21"/>
              </w:rPr>
            </w:pPr>
            <w:r>
              <w:rPr>
                <w:i/>
                <w:iCs/>
                <w:szCs w:val="21"/>
              </w:rPr>
              <w:t>i_s = floor (UE_ID/N) mod Ns</w:t>
            </w:r>
            <w:r>
              <w:rPr>
                <w:rFonts w:hint="eastAsia"/>
                <w:i/>
                <w:iCs/>
                <w:szCs w:val="21"/>
              </w:rPr>
              <w:t xml:space="preserve">   </w:t>
            </w:r>
            <w:r>
              <w:rPr>
                <w:rFonts w:hint="eastAsia"/>
                <w:szCs w:val="21"/>
              </w:rPr>
              <w:t xml:space="preserve">                      </w:t>
            </w:r>
            <w:bookmarkStart w:id="22" w:name="_GoBack"/>
            <w:bookmarkEnd w:id="22"/>
            <w:r>
              <w:rPr>
                <w:rFonts w:hint="eastAsia"/>
                <w:szCs w:val="21"/>
              </w:rPr>
              <w:t xml:space="preserve">   (2)</w:t>
            </w:r>
          </w:p>
        </w:tc>
      </w:tr>
    </w:tbl>
    <w:p>
      <w:pPr>
        <w:spacing w:before="120" w:after="120"/>
        <w:rPr>
          <w:szCs w:val="21"/>
        </w:rPr>
      </w:pPr>
      <w:r>
        <w:rPr>
          <w:rFonts w:hint="eastAsia"/>
          <w:szCs w:val="21"/>
        </w:rPr>
        <w:t>Based on the formula, the paging frames for each UE group, i.e., (</w:t>
      </w:r>
      <w:r>
        <w:rPr>
          <w:rFonts w:hint="eastAsia"/>
          <w:i/>
          <w:iCs/>
          <w:szCs w:val="21"/>
        </w:rPr>
        <w:t xml:space="preserve">UE_ID mod </w:t>
      </w:r>
      <w:r>
        <w:rPr>
          <w:rFonts w:hint="eastAsia"/>
          <w:b/>
          <w:bCs/>
          <w:i/>
          <w:iCs/>
          <w:szCs w:val="21"/>
        </w:rPr>
        <w:t>N</w:t>
      </w:r>
      <w:r>
        <w:rPr>
          <w:rFonts w:hint="eastAsia"/>
          <w:szCs w:val="21"/>
        </w:rPr>
        <w:t xml:space="preserve">), are evenly distributed within one paging cycle T. </w:t>
      </w:r>
    </w:p>
    <w:p>
      <w:pPr>
        <w:spacing w:before="120" w:after="120"/>
      </w:pPr>
      <w:r>
        <w:rPr>
          <w:rFonts w:hint="eastAsia"/>
        </w:rPr>
        <w:drawing>
          <wp:inline distT="0" distB="0" distL="114300" distR="114300">
            <wp:extent cx="6132195" cy="1722120"/>
            <wp:effectExtent l="0" t="0" r="0" b="12065"/>
            <wp:docPr id="9" name="图片 9" descr="Paging配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Paging配置"/>
                    <pic:cNvPicPr>
                      <a:picLocks noChangeAspect="1"/>
                    </pic:cNvPicPr>
                  </pic:nvPicPr>
                  <pic:blipFill>
                    <a:blip r:embed="rId15"/>
                    <a:stretch>
                      <a:fillRect/>
                    </a:stretch>
                  </pic:blipFill>
                  <pic:spPr>
                    <a:xfrm>
                      <a:off x="0" y="0"/>
                      <a:ext cx="6132195" cy="1722120"/>
                    </a:xfrm>
                    <a:prstGeom prst="rect">
                      <a:avLst/>
                    </a:prstGeom>
                  </pic:spPr>
                </pic:pic>
              </a:graphicData>
            </a:graphic>
          </wp:inline>
        </w:drawing>
      </w:r>
    </w:p>
    <w:p>
      <w:pPr>
        <w:spacing w:before="120" w:after="120"/>
        <w:jc w:val="center"/>
        <w:rPr>
          <w:szCs w:val="21"/>
        </w:rPr>
      </w:pPr>
      <w:r>
        <w:rPr>
          <w:rFonts w:hint="eastAsia"/>
          <w:szCs w:val="21"/>
        </w:rPr>
        <w:t>Figure 3 Paging frame pattern in current specification.</w:t>
      </w:r>
    </w:p>
    <w:p>
      <w:pPr>
        <w:spacing w:before="120" w:after="120"/>
        <w:rPr>
          <w:szCs w:val="21"/>
        </w:rPr>
      </w:pPr>
      <w:r>
        <w:rPr>
          <w:rFonts w:hint="eastAsia"/>
          <w:szCs w:val="21"/>
        </w:rPr>
        <w:t xml:space="preserve">Similar to the consideration of PRACH configuration, the issue needs to identify is that how to achieve energy saving, meanwhile minimize the impact to paging capacity. For example, if there are more than one paging frame evenly distributed in one paging cycle, it is hard for gNB to go to sleep for energy saving. On the other hand, if there is few paging frames in one paging cycle, all the UEs would be categorized into one group, which will increase paging false alarming rate and paging latency. </w:t>
      </w:r>
    </w:p>
    <w:p>
      <w:pPr>
        <w:pStyle w:val="60"/>
        <w:spacing w:before="120" w:after="120"/>
        <w:jc w:val="both"/>
        <w:rPr>
          <w:lang w:val="en-US" w:eastAsia="zh-CN"/>
        </w:rPr>
      </w:pPr>
      <w:bookmarkStart w:id="15" w:name="_Toc2699"/>
      <w:r>
        <w:rPr>
          <w:rFonts w:hint="eastAsia"/>
          <w:lang w:val="en-US" w:eastAsia="zh-CN"/>
        </w:rPr>
        <w:t>Paging configurations in current specification cannot achieve network energy saving and good paging capacity at the same time.</w:t>
      </w:r>
      <w:bookmarkEnd w:id="15"/>
    </w:p>
    <w:p>
      <w:pPr>
        <w:spacing w:before="120" w:after="120"/>
        <w:rPr>
          <w:szCs w:val="21"/>
        </w:rPr>
      </w:pPr>
      <w:r>
        <w:rPr>
          <w:rFonts w:hint="eastAsia"/>
          <w:szCs w:val="21"/>
        </w:rPr>
        <w:t>To this end, similar to the consideration on PRACH configuration for network energy saving, a new paging configuration can be considered, which is shown in Figure 4. In details, the characteristic of the new paging configuration of the paging occasions includes (a) a lager paging cycle, (b) there are a number of paging frames gathering within one paging cycle, and (c) some legacy paging occasions are included in new paging configuration to reduce the impact of legacy UE. By the new paging configuration, gNB is capable of having long time within a paging cycle to go to deep sleep to achieve energy saving, and also having sufficient paging occasions for paging UEs in the cell.</w:t>
      </w:r>
    </w:p>
    <w:p>
      <w:pPr>
        <w:spacing w:before="120" w:after="120"/>
      </w:pPr>
      <w:r>
        <w:drawing>
          <wp:inline distT="0" distB="0" distL="114300" distR="114300">
            <wp:extent cx="6131560" cy="1713230"/>
            <wp:effectExtent l="0" t="0" r="2540" b="127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6"/>
                    <a:stretch>
                      <a:fillRect/>
                    </a:stretch>
                  </pic:blipFill>
                  <pic:spPr>
                    <a:xfrm>
                      <a:off x="0" y="0"/>
                      <a:ext cx="6131560" cy="1713230"/>
                    </a:xfrm>
                    <a:prstGeom prst="rect">
                      <a:avLst/>
                    </a:prstGeom>
                    <a:noFill/>
                    <a:ln>
                      <a:noFill/>
                    </a:ln>
                  </pic:spPr>
                </pic:pic>
              </a:graphicData>
            </a:graphic>
          </wp:inline>
        </w:drawing>
      </w:r>
    </w:p>
    <w:p>
      <w:pPr>
        <w:spacing w:before="120" w:after="120"/>
        <w:jc w:val="center"/>
        <w:rPr>
          <w:szCs w:val="21"/>
        </w:rPr>
      </w:pPr>
      <w:r>
        <w:rPr>
          <w:rFonts w:hint="eastAsia"/>
          <w:szCs w:val="21"/>
        </w:rPr>
        <w:t xml:space="preserve">Figure 4 </w:t>
      </w:r>
      <w:r>
        <w:rPr>
          <w:rFonts w:hint="eastAsia"/>
          <w:szCs w:val="21"/>
          <w:lang w:val="en-US" w:eastAsia="zh-CN"/>
        </w:rPr>
        <w:t>N</w:t>
      </w:r>
      <w:r>
        <w:rPr>
          <w:rFonts w:hint="eastAsia"/>
          <w:szCs w:val="21"/>
        </w:rPr>
        <w:t>ew paging configuration for network energy saving</w:t>
      </w:r>
    </w:p>
    <w:p>
      <w:pPr>
        <w:pStyle w:val="63"/>
        <w:spacing w:before="120" w:after="120"/>
        <w:jc w:val="both"/>
        <w:rPr>
          <w:lang w:val="en-US" w:eastAsia="zh-CN"/>
        </w:rPr>
      </w:pPr>
      <w:bookmarkStart w:id="16" w:name="_Toc8935"/>
      <w:r>
        <w:rPr>
          <w:rFonts w:hint="eastAsia"/>
          <w:lang w:val="en-US" w:eastAsia="zh-CN"/>
        </w:rPr>
        <w:t xml:space="preserve">Specify new paging configurations to harvest network energy saving gain and meanwhile </w:t>
      </w:r>
      <w:r>
        <w:rPr>
          <w:lang w:val="en-US" w:eastAsia="zh-CN"/>
        </w:rPr>
        <w:t>make sure the minimum impact on</w:t>
      </w:r>
      <w:r>
        <w:rPr>
          <w:rFonts w:hint="eastAsia"/>
          <w:lang w:val="en-US" w:eastAsia="zh-CN"/>
        </w:rPr>
        <w:t xml:space="preserve"> paging false alarming rate and paging latency with characteristic of:</w:t>
      </w:r>
      <w:bookmarkEnd w:id="16"/>
      <w:r>
        <w:rPr>
          <w:rFonts w:hint="eastAsia"/>
          <w:lang w:val="en-US" w:eastAsia="zh-CN"/>
        </w:rPr>
        <w:t xml:space="preserve"> </w:t>
      </w:r>
    </w:p>
    <w:p>
      <w:pPr>
        <w:pStyle w:val="63"/>
        <w:numPr>
          <w:ilvl w:val="0"/>
          <w:numId w:val="9"/>
        </w:numPr>
        <w:spacing w:before="120" w:after="120"/>
        <w:jc w:val="both"/>
        <w:rPr>
          <w:lang w:val="en-US" w:eastAsia="zh-CN"/>
        </w:rPr>
      </w:pPr>
      <w:bookmarkStart w:id="17" w:name="_Toc24301"/>
      <w:r>
        <w:rPr>
          <w:rFonts w:hint="eastAsia"/>
          <w:lang w:val="en-US" w:eastAsia="zh-CN"/>
        </w:rPr>
        <w:t>larger periodicity.</w:t>
      </w:r>
      <w:bookmarkEnd w:id="17"/>
    </w:p>
    <w:p>
      <w:pPr>
        <w:pStyle w:val="63"/>
        <w:numPr>
          <w:ilvl w:val="0"/>
          <w:numId w:val="9"/>
        </w:numPr>
        <w:spacing w:before="120" w:after="120"/>
        <w:jc w:val="both"/>
        <w:rPr>
          <w:lang w:val="en-US" w:eastAsia="zh-CN"/>
        </w:rPr>
      </w:pPr>
      <w:bookmarkStart w:id="18" w:name="_Toc7678"/>
      <w:r>
        <w:rPr>
          <w:rFonts w:hint="eastAsia"/>
          <w:lang w:val="en-US" w:eastAsia="zh-CN"/>
        </w:rPr>
        <w:t>compact paging frame for paging occasions within one paging cycle.</w:t>
      </w:r>
      <w:bookmarkEnd w:id="18"/>
    </w:p>
    <w:p>
      <w:pPr>
        <w:pStyle w:val="63"/>
        <w:numPr>
          <w:ilvl w:val="0"/>
          <w:numId w:val="9"/>
        </w:numPr>
        <w:spacing w:before="120" w:after="120"/>
        <w:jc w:val="both"/>
        <w:rPr>
          <w:lang w:val="en-US" w:eastAsia="zh-CN"/>
        </w:rPr>
      </w:pPr>
      <w:bookmarkStart w:id="19" w:name="_Toc9998"/>
      <w:r>
        <w:rPr>
          <w:lang w:val="en-US" w:eastAsia="zh-CN"/>
        </w:rPr>
        <w:t>backward</w:t>
      </w:r>
      <w:r>
        <w:rPr>
          <w:rFonts w:hint="eastAsia"/>
          <w:lang w:val="en-US" w:eastAsia="zh-CN"/>
        </w:rPr>
        <w:t xml:space="preserve"> compatibility, e.g., comprising some </w:t>
      </w:r>
      <w:r>
        <w:rPr>
          <w:lang w:val="en-US" w:eastAsia="zh-CN"/>
        </w:rPr>
        <w:t xml:space="preserve">legacy </w:t>
      </w:r>
      <w:r>
        <w:rPr>
          <w:rFonts w:hint="eastAsia"/>
          <w:lang w:val="en-US" w:eastAsia="zh-CN"/>
        </w:rPr>
        <w:t>paging occasions in new paging configuration.</w:t>
      </w:r>
      <w:bookmarkEnd w:id="19"/>
    </w:p>
    <w:p>
      <w:pPr>
        <w:pStyle w:val="3"/>
        <w:spacing w:before="120" w:after="120"/>
        <w:ind w:left="991" w:right="210" w:hanging="991" w:hangingChars="354"/>
        <w:rPr>
          <w:rFonts w:eastAsia="宋体"/>
        </w:rPr>
      </w:pPr>
      <w:r>
        <w:rPr>
          <w:rFonts w:hint="eastAsia" w:eastAsia="宋体"/>
        </w:rPr>
        <w:t>Paging occasion adaptation</w:t>
      </w:r>
    </w:p>
    <w:p>
      <w:pPr>
        <w:spacing w:before="120" w:after="120"/>
        <w:rPr>
          <w:szCs w:val="21"/>
        </w:rPr>
      </w:pPr>
      <w:r>
        <w:rPr>
          <w:rFonts w:hint="eastAsia"/>
          <w:szCs w:val="21"/>
        </w:rPr>
        <w:t>In this section, we further consider to achieve paging configuration adaptation in different situations (e.g., depending on system load), which is helpful for gNB to flexibly switch the paging configurations.</w:t>
      </w:r>
    </w:p>
    <w:p>
      <w:pPr>
        <w:spacing w:before="120" w:after="120"/>
        <w:rPr>
          <w:szCs w:val="21"/>
        </w:rPr>
      </w:pPr>
      <w:r>
        <w:rPr>
          <w:rFonts w:hint="eastAsia"/>
          <w:szCs w:val="21"/>
        </w:rPr>
        <w:t>Since paging is mainly monitored by idle/inactive UE, DCI based paging configuration adaptation is more beneficial for network energy saving.</w:t>
      </w:r>
    </w:p>
    <w:p>
      <w:pPr>
        <w:pStyle w:val="63"/>
        <w:spacing w:before="120" w:after="120"/>
        <w:jc w:val="both"/>
        <w:rPr>
          <w:lang w:val="en-US" w:eastAsia="zh-CN"/>
        </w:rPr>
      </w:pPr>
      <w:bookmarkStart w:id="20" w:name="_Toc6661"/>
      <w:r>
        <w:rPr>
          <w:rFonts w:hint="eastAsia"/>
          <w:lang w:val="en-US" w:eastAsia="zh-CN"/>
        </w:rPr>
        <w:t>DCI based indication can be considered for the paging configuration adaptation.</w:t>
      </w:r>
      <w:bookmarkEnd w:id="20"/>
      <w:r>
        <w:rPr>
          <w:rFonts w:hint="eastAsia"/>
          <w:lang w:val="en-US" w:eastAsia="zh-CN"/>
        </w:rPr>
        <w:t xml:space="preserve"> </w:t>
      </w:r>
    </w:p>
    <w:p>
      <w:pPr>
        <w:pStyle w:val="2"/>
        <w:spacing w:before="120" w:after="120"/>
        <w:ind w:left="0"/>
      </w:pPr>
      <w:r>
        <w:rPr>
          <w:rFonts w:hint="eastAsia"/>
        </w:rPr>
        <w:t>Dynamic adaptation of common signal/channel</w:t>
      </w:r>
    </w:p>
    <w:p>
      <w:pPr>
        <w:spacing w:before="120" w:after="120"/>
        <w:rPr>
          <w:szCs w:val="21"/>
        </w:rPr>
      </w:pPr>
      <w:r>
        <w:rPr>
          <w:rFonts w:hint="eastAsia"/>
          <w:szCs w:val="21"/>
        </w:rPr>
        <w:t>To this regard, dynamic adaptation of common signal/channel including SSB, PRACH, paging configuration can be considered as a whole. Therefore, a unified signaling design is proposed to reduce the workload.</w:t>
      </w:r>
    </w:p>
    <w:p>
      <w:pPr>
        <w:spacing w:before="120" w:after="120"/>
        <w:rPr>
          <w:szCs w:val="21"/>
        </w:rPr>
      </w:pPr>
      <w:r>
        <w:rPr>
          <w:rFonts w:hint="eastAsia"/>
          <w:szCs w:val="21"/>
        </w:rPr>
        <w:t>The idle/inactive mode UEs are required to monitor paging DCI, SI DCI and PEI. For paging DCI, the available reserved bit is limited. Meanwhile, idle/inactive mode UEs only need to monitor SI DCI when system information update i</w:t>
      </w:r>
      <w:r>
        <w:rPr>
          <w:szCs w:val="21"/>
        </w:rPr>
        <w:t>s</w:t>
      </w:r>
      <w:r>
        <w:rPr>
          <w:rFonts w:hint="eastAsia"/>
          <w:szCs w:val="21"/>
        </w:rPr>
        <w:t xml:space="preserve"> indicated by paging DCI. The payload size of PEI introduced in Rel-17 is flexibly configured. Therefore, PEI DCI can be one of the potential candidates for the unified signaling. Moreover, other group common DCI can be also one option.</w:t>
      </w:r>
    </w:p>
    <w:p>
      <w:pPr>
        <w:pStyle w:val="63"/>
        <w:spacing w:before="120" w:after="120"/>
        <w:jc w:val="both"/>
        <w:rPr>
          <w:lang w:val="en-US" w:eastAsia="zh-CN"/>
        </w:rPr>
      </w:pPr>
      <w:bookmarkStart w:id="21" w:name="_Toc13278"/>
      <w:r>
        <w:rPr>
          <w:rFonts w:hint="eastAsia"/>
          <w:lang w:val="en-US" w:eastAsia="zh-CN"/>
        </w:rPr>
        <w:t>A unified signaling can be considered for the indication of SSB adaptation, PRACH adaptation and paging adaptation.</w:t>
      </w:r>
      <w:bookmarkEnd w:id="21"/>
      <w:r>
        <w:rPr>
          <w:rFonts w:hint="eastAsia"/>
          <w:lang w:val="en-US" w:eastAsia="zh-CN"/>
        </w:rPr>
        <w:t xml:space="preserve"> </w:t>
      </w:r>
    </w:p>
    <w:p>
      <w:pPr>
        <w:pStyle w:val="63"/>
        <w:numPr>
          <w:ilvl w:val="0"/>
          <w:numId w:val="0"/>
        </w:numPr>
        <w:spacing w:before="120" w:after="120"/>
        <w:jc w:val="both"/>
        <w:rPr>
          <w:lang w:val="en-US" w:eastAsia="zh-CN"/>
        </w:rPr>
      </w:pPr>
    </w:p>
    <w:p>
      <w:pPr>
        <w:pStyle w:val="2"/>
        <w:spacing w:before="120" w:after="120"/>
        <w:ind w:left="0"/>
        <w:rPr>
          <w:rFonts w:eastAsia="宋体"/>
        </w:rPr>
      </w:pPr>
      <w:r>
        <w:rPr>
          <w:rFonts w:eastAsia="宋体"/>
        </w:rPr>
        <w:t>Conclusion</w:t>
      </w:r>
    </w:p>
    <w:p>
      <w:pPr>
        <w:spacing w:before="120" w:after="120"/>
      </w:pPr>
      <w:r>
        <w:rPr>
          <w:rFonts w:hint="eastAsia"/>
        </w:rPr>
        <w:t>In this contribution, we have the following observations/proposals:</w:t>
      </w:r>
    </w:p>
    <w:p>
      <w:pPr>
        <w:pStyle w:val="20"/>
        <w:tabs>
          <w:tab w:val="right" w:leader="dot" w:pos="9660"/>
          <w:tab w:val="clear" w:pos="0"/>
        </w:tabs>
        <w:jc w:val="both"/>
      </w:pPr>
      <w:r>
        <w:rPr>
          <w:i w:val="0"/>
          <w:iCs w:val="0"/>
          <w:sz w:val="21"/>
          <w:szCs w:val="22"/>
        </w:rPr>
        <w:fldChar w:fldCharType="begin"/>
      </w:r>
      <w:r>
        <w:rPr>
          <w:i w:val="0"/>
          <w:iCs w:val="0"/>
          <w:sz w:val="21"/>
          <w:szCs w:val="22"/>
        </w:rPr>
        <w:instrText xml:space="preserve">TOC \n  \t "YJ-Observation,1,sub-observation,2,3rd level observation,3" \h</w:instrText>
      </w:r>
      <w:r>
        <w:rPr>
          <w:i w:val="0"/>
          <w:iCs w:val="0"/>
          <w:sz w:val="21"/>
          <w:szCs w:val="22"/>
        </w:rPr>
        <w:fldChar w:fldCharType="separate"/>
      </w:r>
      <w:r>
        <w:rPr>
          <w:i w:val="0"/>
          <w:iCs w:val="0"/>
          <w:szCs w:val="22"/>
        </w:rPr>
        <w:fldChar w:fldCharType="begin"/>
      </w:r>
      <w:r>
        <w:rPr>
          <w:i w:val="0"/>
          <w:iCs w:val="0"/>
          <w:szCs w:val="22"/>
        </w:rPr>
        <w:instrText xml:space="preserve"> HYPERLINK \l _Toc15629 </w:instrText>
      </w:r>
      <w:r>
        <w:rPr>
          <w:i w:val="0"/>
          <w:iCs w:val="0"/>
          <w:szCs w:val="22"/>
        </w:rPr>
        <w:fldChar w:fldCharType="separate"/>
      </w:r>
      <w:r>
        <w:rPr>
          <w:rFonts w:hint="default" w:ascii="Times New Roman" w:hAnsi="Times New Roman" w:eastAsia="宋体" w:cs="Times New Roman"/>
          <w:bCs/>
          <w:i/>
          <w:iCs/>
          <w:lang w:val="en-US" w:eastAsia="zh-CN"/>
        </w:rPr>
        <w:t xml:space="preserve">Observation 1: </w:t>
      </w:r>
      <w:r>
        <w:rPr>
          <w:rFonts w:hint="eastAsia"/>
          <w:lang w:val="en-US" w:eastAsia="zh-CN"/>
        </w:rPr>
        <w:t>SSB adaptation for RRC connected mode UEs has been sufficiently studied from Rel-15 to Rel-19.</w:t>
      </w:r>
      <w:r>
        <w:rPr>
          <w:i w:val="0"/>
          <w:iCs w:val="0"/>
          <w:szCs w:val="22"/>
        </w:rPr>
        <w:fldChar w:fldCharType="end"/>
      </w:r>
    </w:p>
    <w:p>
      <w:pPr>
        <w:pStyle w:val="20"/>
        <w:tabs>
          <w:tab w:val="right" w:leader="dot" w:pos="9660"/>
          <w:tab w:val="clear" w:pos="0"/>
        </w:tabs>
        <w:jc w:val="both"/>
      </w:pPr>
      <w:r>
        <w:rPr>
          <w:szCs w:val="22"/>
        </w:rPr>
        <w:fldChar w:fldCharType="begin"/>
      </w:r>
      <w:r>
        <w:rPr>
          <w:szCs w:val="22"/>
        </w:rPr>
        <w:instrText xml:space="preserve"> HYPERLINK \l _Toc12273 </w:instrText>
      </w:r>
      <w:r>
        <w:rPr>
          <w:szCs w:val="22"/>
        </w:rPr>
        <w:fldChar w:fldCharType="separate"/>
      </w:r>
      <w:r>
        <w:rPr>
          <w:rFonts w:hint="default" w:ascii="Times New Roman" w:hAnsi="Times New Roman" w:eastAsia="宋体" w:cs="Times New Roman"/>
          <w:bCs/>
          <w:i/>
          <w:iCs/>
          <w:lang w:val="en-US" w:eastAsia="zh-CN"/>
        </w:rPr>
        <w:t xml:space="preserve">Observation 2: </w:t>
      </w:r>
      <w:r>
        <w:rPr>
          <w:rFonts w:hint="eastAsia"/>
          <w:lang w:val="en-US" w:eastAsia="zh-CN"/>
        </w:rPr>
        <w:t>PRACH configurations in current specification cannot achieve network energy saving and good RACH capacity at the same time.</w:t>
      </w:r>
      <w:r>
        <w:rPr>
          <w:szCs w:val="22"/>
        </w:rPr>
        <w:fldChar w:fldCharType="end"/>
      </w:r>
    </w:p>
    <w:p>
      <w:pPr>
        <w:pStyle w:val="20"/>
        <w:tabs>
          <w:tab w:val="right" w:leader="dot" w:pos="9660"/>
          <w:tab w:val="clear" w:pos="0"/>
        </w:tabs>
        <w:jc w:val="both"/>
      </w:pPr>
      <w:r>
        <w:rPr>
          <w:szCs w:val="22"/>
        </w:rPr>
        <w:fldChar w:fldCharType="begin"/>
      </w:r>
      <w:r>
        <w:rPr>
          <w:szCs w:val="22"/>
        </w:rPr>
        <w:instrText xml:space="preserve"> HYPERLINK \l _Toc2699 </w:instrText>
      </w:r>
      <w:r>
        <w:rPr>
          <w:szCs w:val="22"/>
        </w:rPr>
        <w:fldChar w:fldCharType="separate"/>
      </w:r>
      <w:r>
        <w:rPr>
          <w:rFonts w:hint="default" w:ascii="Times New Roman" w:hAnsi="Times New Roman" w:eastAsia="宋体" w:cs="Times New Roman"/>
          <w:bCs/>
          <w:i/>
          <w:iCs/>
          <w:lang w:val="en-US" w:eastAsia="zh-CN"/>
        </w:rPr>
        <w:t xml:space="preserve">Observation 3: </w:t>
      </w:r>
      <w:r>
        <w:rPr>
          <w:rFonts w:hint="eastAsia"/>
          <w:lang w:val="en-US" w:eastAsia="zh-CN"/>
        </w:rPr>
        <w:t>Paging configurations in current specification cannot achieve network energy saving and good paging capacity at the same time.</w:t>
      </w:r>
      <w:r>
        <w:rPr>
          <w:szCs w:val="22"/>
        </w:rPr>
        <w:fldChar w:fldCharType="end"/>
      </w:r>
    </w:p>
    <w:p>
      <w:pPr>
        <w:spacing w:before="120" w:after="120"/>
        <w:jc w:val="both"/>
      </w:pPr>
      <w:r>
        <w:rPr>
          <w:szCs w:val="22"/>
        </w:rPr>
        <w:fldChar w:fldCharType="end"/>
      </w:r>
    </w:p>
    <w:p>
      <w:pPr>
        <w:pStyle w:val="20"/>
        <w:tabs>
          <w:tab w:val="right" w:leader="dot" w:pos="9660"/>
          <w:tab w:val="clear" w:pos="0"/>
        </w:tabs>
        <w:jc w:val="both"/>
      </w:pPr>
      <w:r>
        <w:rPr>
          <w:highlight w:val="yellow"/>
        </w:rPr>
        <w:fldChar w:fldCharType="begin"/>
      </w:r>
      <w:r>
        <w:rPr>
          <w:highlight w:val="yellow"/>
        </w:rPr>
        <w:instrText xml:space="preserve">TOC \n  \t "YJ-Proposal,1,sub-proposal,2,3rd level proposal,3" \h</w:instrText>
      </w:r>
      <w:r>
        <w:rPr>
          <w:highlight w:val="yellow"/>
        </w:rPr>
        <w:fldChar w:fldCharType="separate"/>
      </w:r>
      <w:r>
        <w:rPr>
          <w:highlight w:val="yellow"/>
        </w:rPr>
        <w:fldChar w:fldCharType="begin"/>
      </w:r>
      <w:r>
        <w:rPr>
          <w:highlight w:val="yellow"/>
        </w:rPr>
        <w:instrText xml:space="preserve"> HYPERLINK \l _Toc7180 </w:instrText>
      </w:r>
      <w:r>
        <w:rPr>
          <w:highlight w:val="yellow"/>
        </w:rPr>
        <w:fldChar w:fldCharType="separate"/>
      </w:r>
      <w:r>
        <w:rPr>
          <w:rFonts w:hint="default" w:ascii="Times New Roman" w:hAnsi="Times New Roman" w:eastAsia="宋体" w:cs="Times New Roman"/>
          <w:bCs/>
          <w:i/>
          <w:iCs/>
          <w:lang w:val="en-US" w:eastAsia="zh-CN"/>
        </w:rPr>
        <w:t xml:space="preserve">Proposal 1: </w:t>
      </w:r>
      <w:r>
        <w:rPr>
          <w:rFonts w:hint="eastAsia"/>
          <w:lang w:val="en-US" w:eastAsia="zh-CN"/>
        </w:rPr>
        <w:t>SSB adaptation in time domain for idle/inactive UE should be prioritized.</w:t>
      </w:r>
      <w:r>
        <w:rPr>
          <w:highlight w:val="yellow"/>
        </w:rPr>
        <w:fldChar w:fldCharType="end"/>
      </w:r>
    </w:p>
    <w:p>
      <w:pPr>
        <w:pStyle w:val="20"/>
        <w:tabs>
          <w:tab w:val="right" w:leader="dot" w:pos="9660"/>
          <w:tab w:val="clear" w:pos="0"/>
        </w:tabs>
        <w:jc w:val="both"/>
      </w:pPr>
      <w:r>
        <w:rPr>
          <w:highlight w:val="yellow"/>
        </w:rPr>
        <w:fldChar w:fldCharType="begin"/>
      </w:r>
      <w:r>
        <w:rPr>
          <w:highlight w:val="yellow"/>
        </w:rPr>
        <w:instrText xml:space="preserve"> HYPERLINK \l _Toc16618 </w:instrText>
      </w:r>
      <w:r>
        <w:rPr>
          <w:highlight w:val="yellow"/>
        </w:rPr>
        <w:fldChar w:fldCharType="separate"/>
      </w:r>
      <w:r>
        <w:rPr>
          <w:rFonts w:hint="default" w:ascii="Times New Roman" w:hAnsi="Times New Roman" w:eastAsia="宋体" w:cs="Times New Roman"/>
          <w:bCs/>
          <w:i/>
          <w:iCs/>
          <w:lang w:val="en-US" w:eastAsia="zh-CN"/>
        </w:rPr>
        <w:t xml:space="preserve">Proposal 2: </w:t>
      </w:r>
      <w:r>
        <w:rPr>
          <w:rFonts w:hint="eastAsia"/>
          <w:lang w:val="en-US" w:eastAsia="zh-CN"/>
        </w:rPr>
        <w:t>Dynamic SSB periodicity adaptation can be considered.</w:t>
      </w:r>
      <w:r>
        <w:rPr>
          <w:highlight w:val="yellow"/>
        </w:rPr>
        <w:fldChar w:fldCharType="end"/>
      </w:r>
    </w:p>
    <w:p>
      <w:pPr>
        <w:pStyle w:val="20"/>
        <w:tabs>
          <w:tab w:val="right" w:leader="dot" w:pos="9660"/>
          <w:tab w:val="clear" w:pos="0"/>
        </w:tabs>
        <w:jc w:val="both"/>
      </w:pPr>
      <w:r>
        <w:rPr>
          <w:highlight w:val="yellow"/>
        </w:rPr>
        <w:fldChar w:fldCharType="begin"/>
      </w:r>
      <w:r>
        <w:rPr>
          <w:highlight w:val="yellow"/>
        </w:rPr>
        <w:instrText xml:space="preserve"> HYPERLINK \l _Toc16337 </w:instrText>
      </w:r>
      <w:r>
        <w:rPr>
          <w:highlight w:val="yellow"/>
        </w:rPr>
        <w:fldChar w:fldCharType="separate"/>
      </w:r>
      <w:r>
        <w:rPr>
          <w:rFonts w:hint="default" w:ascii="Times New Roman" w:hAnsi="Times New Roman" w:eastAsia="宋体" w:cs="Times New Roman"/>
          <w:bCs/>
          <w:i/>
          <w:iCs/>
          <w:lang w:val="en-US" w:eastAsia="zh-CN"/>
        </w:rPr>
        <w:t xml:space="preserve">Proposal 3: </w:t>
      </w:r>
      <w:r>
        <w:rPr>
          <w:rFonts w:hint="eastAsia"/>
          <w:lang w:val="en-US" w:eastAsia="zh-CN"/>
        </w:rPr>
        <w:t>Specify new PRACH configurations to harvest network energy saving gain and meanwhile make sure that impact on preamble collision</w:t>
      </w:r>
      <w:r>
        <w:rPr>
          <w:lang w:val="en-US" w:eastAsia="zh-CN"/>
        </w:rPr>
        <w:t xml:space="preserve"> and</w:t>
      </w:r>
      <w:r>
        <w:rPr>
          <w:rFonts w:hint="eastAsia"/>
          <w:lang w:val="en-US" w:eastAsia="zh-CN"/>
        </w:rPr>
        <w:t xml:space="preserve"> access delay is </w:t>
      </w:r>
      <w:r>
        <w:rPr>
          <w:lang w:val="en-US" w:eastAsia="zh-CN"/>
        </w:rPr>
        <w:t xml:space="preserve">limited </w:t>
      </w:r>
      <w:r>
        <w:rPr>
          <w:rFonts w:hint="eastAsia"/>
          <w:lang w:val="en-US" w:eastAsia="zh-CN"/>
        </w:rPr>
        <w:t>to the least, with characteristic of, e.g.:</w:t>
      </w:r>
      <w:r>
        <w:rPr>
          <w:highlight w:val="yellow"/>
        </w:rPr>
        <w:fldChar w:fldCharType="end"/>
      </w:r>
    </w:p>
    <w:p>
      <w:pPr>
        <w:pStyle w:val="20"/>
        <w:tabs>
          <w:tab w:val="right" w:leader="dot" w:pos="9660"/>
          <w:tab w:val="clear" w:pos="0"/>
        </w:tabs>
        <w:ind w:leftChars="100"/>
        <w:jc w:val="both"/>
      </w:pPr>
      <w:r>
        <w:rPr>
          <w:highlight w:val="yellow"/>
        </w:rPr>
        <w:fldChar w:fldCharType="begin"/>
      </w:r>
      <w:r>
        <w:rPr>
          <w:highlight w:val="yellow"/>
        </w:rPr>
        <w:instrText xml:space="preserve"> HYPERLINK \l _Toc6663 </w:instrText>
      </w:r>
      <w:r>
        <w:rPr>
          <w:highlight w:val="yellow"/>
        </w:rPr>
        <w:fldChar w:fldCharType="separate"/>
      </w:r>
      <w:r>
        <w:rPr>
          <w:lang w:val="en-US" w:eastAsia="zh-CN"/>
        </w:rPr>
        <w:t xml:space="preserve">(a) </w:t>
      </w:r>
      <w:r>
        <w:rPr>
          <w:rFonts w:hint="eastAsia"/>
          <w:lang w:val="en-US" w:eastAsia="zh-CN"/>
        </w:rPr>
        <w:t>larger PRACH configuration period, e.g., above 160 ms.</w:t>
      </w:r>
      <w:r>
        <w:rPr>
          <w:highlight w:val="yellow"/>
        </w:rPr>
        <w:fldChar w:fldCharType="end"/>
      </w:r>
    </w:p>
    <w:p>
      <w:pPr>
        <w:pStyle w:val="20"/>
        <w:tabs>
          <w:tab w:val="right" w:leader="dot" w:pos="9660"/>
          <w:tab w:val="clear" w:pos="0"/>
        </w:tabs>
        <w:ind w:leftChars="100"/>
        <w:jc w:val="both"/>
      </w:pPr>
      <w:r>
        <w:rPr>
          <w:highlight w:val="yellow"/>
        </w:rPr>
        <w:fldChar w:fldCharType="begin"/>
      </w:r>
      <w:r>
        <w:rPr>
          <w:highlight w:val="yellow"/>
        </w:rPr>
        <w:instrText xml:space="preserve"> HYPERLINK \l _Toc26704 </w:instrText>
      </w:r>
      <w:r>
        <w:rPr>
          <w:highlight w:val="yellow"/>
        </w:rPr>
        <w:fldChar w:fldCharType="separate"/>
      </w:r>
      <w:r>
        <w:rPr>
          <w:lang w:val="en-US" w:eastAsia="zh-CN"/>
        </w:rPr>
        <w:t xml:space="preserve">(b) </w:t>
      </w:r>
      <w:r>
        <w:rPr>
          <w:rFonts w:hint="eastAsia"/>
          <w:lang w:val="en-US" w:eastAsia="zh-CN"/>
        </w:rPr>
        <w:t>compact subframes for PRACH occasions within one PRACH configuration period.</w:t>
      </w:r>
      <w:r>
        <w:rPr>
          <w:highlight w:val="yellow"/>
        </w:rPr>
        <w:fldChar w:fldCharType="end"/>
      </w:r>
    </w:p>
    <w:p>
      <w:pPr>
        <w:pStyle w:val="20"/>
        <w:tabs>
          <w:tab w:val="right" w:leader="dot" w:pos="9660"/>
          <w:tab w:val="clear" w:pos="0"/>
        </w:tabs>
        <w:ind w:leftChars="100"/>
        <w:jc w:val="both"/>
      </w:pPr>
      <w:r>
        <w:rPr>
          <w:highlight w:val="yellow"/>
        </w:rPr>
        <w:fldChar w:fldCharType="begin"/>
      </w:r>
      <w:r>
        <w:rPr>
          <w:highlight w:val="yellow"/>
        </w:rPr>
        <w:instrText xml:space="preserve"> HYPERLINK \l _Toc424 </w:instrText>
      </w:r>
      <w:r>
        <w:rPr>
          <w:highlight w:val="yellow"/>
        </w:rPr>
        <w:fldChar w:fldCharType="separate"/>
      </w:r>
      <w:r>
        <w:rPr>
          <w:lang w:val="en-US" w:eastAsia="zh-CN"/>
        </w:rPr>
        <w:t>(c) backward</w:t>
      </w:r>
      <w:r>
        <w:rPr>
          <w:rFonts w:hint="eastAsia"/>
          <w:lang w:val="en-US" w:eastAsia="zh-CN"/>
        </w:rPr>
        <w:t xml:space="preserve"> compatibility, e.g., comprising some </w:t>
      </w:r>
      <w:r>
        <w:rPr>
          <w:lang w:val="en-US" w:eastAsia="zh-CN"/>
        </w:rPr>
        <w:t xml:space="preserve">legacy </w:t>
      </w:r>
      <w:r>
        <w:rPr>
          <w:rFonts w:hint="eastAsia"/>
          <w:lang w:val="en-US" w:eastAsia="zh-CN"/>
        </w:rPr>
        <w:t>PRACH occasions in new PRACH configuration.</w:t>
      </w:r>
      <w:r>
        <w:rPr>
          <w:highlight w:val="yellow"/>
        </w:rPr>
        <w:fldChar w:fldCharType="end"/>
      </w:r>
    </w:p>
    <w:p>
      <w:pPr>
        <w:pStyle w:val="20"/>
        <w:tabs>
          <w:tab w:val="right" w:leader="dot" w:pos="9660"/>
          <w:tab w:val="clear" w:pos="0"/>
        </w:tabs>
        <w:ind w:leftChars="100"/>
        <w:jc w:val="both"/>
      </w:pPr>
      <w:r>
        <w:rPr>
          <w:highlight w:val="yellow"/>
        </w:rPr>
        <w:fldChar w:fldCharType="begin"/>
      </w:r>
      <w:r>
        <w:rPr>
          <w:highlight w:val="yellow"/>
        </w:rPr>
        <w:instrText xml:space="preserve"> HYPERLINK \l _Toc6200 </w:instrText>
      </w:r>
      <w:r>
        <w:rPr>
          <w:highlight w:val="yellow"/>
        </w:rPr>
        <w:fldChar w:fldCharType="separate"/>
      </w:r>
      <w:r>
        <w:rPr>
          <w:lang w:val="en-US" w:eastAsia="zh-CN"/>
        </w:rPr>
        <w:t xml:space="preserve">(d) </w:t>
      </w:r>
      <w:r>
        <w:rPr>
          <w:rFonts w:hint="eastAsia"/>
          <w:lang w:val="en-US" w:eastAsia="zh-CN"/>
        </w:rPr>
        <w:t xml:space="preserve">larger supported maximum PRACH occasions number in frequency domain, e.g., </w:t>
      </w:r>
      <w:r>
        <w:rPr>
          <w:lang w:val="en-US" w:eastAsia="zh-CN"/>
        </w:rPr>
        <w:t>more than</w:t>
      </w:r>
      <w:r>
        <w:rPr>
          <w:rFonts w:hint="eastAsia"/>
          <w:lang w:val="en-US" w:eastAsia="zh-CN"/>
        </w:rPr>
        <w:t xml:space="preserve"> 8.</w:t>
      </w:r>
      <w:r>
        <w:rPr>
          <w:highlight w:val="yellow"/>
        </w:rPr>
        <w:fldChar w:fldCharType="end"/>
      </w:r>
    </w:p>
    <w:p>
      <w:pPr>
        <w:pStyle w:val="20"/>
        <w:tabs>
          <w:tab w:val="right" w:leader="dot" w:pos="9660"/>
          <w:tab w:val="clear" w:pos="0"/>
        </w:tabs>
        <w:jc w:val="both"/>
      </w:pPr>
      <w:r>
        <w:rPr>
          <w:highlight w:val="yellow"/>
        </w:rPr>
        <w:fldChar w:fldCharType="begin"/>
      </w:r>
      <w:r>
        <w:rPr>
          <w:highlight w:val="yellow"/>
        </w:rPr>
        <w:instrText xml:space="preserve"> HYPERLINK \l _Toc7980 </w:instrText>
      </w:r>
      <w:r>
        <w:rPr>
          <w:highlight w:val="yellow"/>
        </w:rPr>
        <w:fldChar w:fldCharType="separate"/>
      </w:r>
      <w:r>
        <w:rPr>
          <w:rFonts w:hint="default" w:ascii="Times New Roman" w:hAnsi="Times New Roman" w:eastAsia="宋体" w:cs="Times New Roman"/>
          <w:bCs/>
          <w:i/>
          <w:iCs/>
          <w:lang w:val="en-US" w:eastAsia="zh-CN"/>
        </w:rPr>
        <w:t xml:space="preserve">Proposal 4: </w:t>
      </w:r>
      <w:r>
        <w:rPr>
          <w:rFonts w:hint="eastAsia"/>
          <w:lang w:val="en-US" w:eastAsia="zh-CN"/>
        </w:rPr>
        <w:t>The use cases of PRACH configuration adaptation should include at least PRACH occasion for random access.</w:t>
      </w:r>
      <w:r>
        <w:rPr>
          <w:highlight w:val="yellow"/>
        </w:rPr>
        <w:fldChar w:fldCharType="end"/>
      </w:r>
    </w:p>
    <w:p>
      <w:pPr>
        <w:pStyle w:val="20"/>
        <w:tabs>
          <w:tab w:val="right" w:leader="dot" w:pos="9660"/>
          <w:tab w:val="clear" w:pos="0"/>
        </w:tabs>
        <w:jc w:val="both"/>
      </w:pPr>
      <w:r>
        <w:rPr>
          <w:highlight w:val="yellow"/>
        </w:rPr>
        <w:fldChar w:fldCharType="begin"/>
      </w:r>
      <w:r>
        <w:rPr>
          <w:highlight w:val="yellow"/>
        </w:rPr>
        <w:instrText xml:space="preserve"> HYPERLINK \l _Toc4889 </w:instrText>
      </w:r>
      <w:r>
        <w:rPr>
          <w:highlight w:val="yellow"/>
        </w:rPr>
        <w:fldChar w:fldCharType="separate"/>
      </w:r>
      <w:r>
        <w:rPr>
          <w:rFonts w:hint="default" w:ascii="Times New Roman" w:hAnsi="Times New Roman" w:eastAsia="宋体" w:cs="Times New Roman"/>
          <w:bCs/>
          <w:i/>
          <w:iCs/>
          <w:lang w:val="en-US" w:eastAsia="zh-CN"/>
        </w:rPr>
        <w:t xml:space="preserve">Proposal 5: </w:t>
      </w:r>
      <w:r>
        <w:rPr>
          <w:rFonts w:hint="eastAsia"/>
          <w:lang w:val="en-US" w:eastAsia="zh-CN"/>
        </w:rPr>
        <w:t>DCI based PRACH configuration adaptation mechanism can be considered for the PRACH configuration adaptation.</w:t>
      </w:r>
      <w:r>
        <w:rPr>
          <w:highlight w:val="yellow"/>
        </w:rPr>
        <w:fldChar w:fldCharType="end"/>
      </w:r>
    </w:p>
    <w:p>
      <w:pPr>
        <w:pStyle w:val="20"/>
        <w:tabs>
          <w:tab w:val="right" w:leader="dot" w:pos="9660"/>
          <w:tab w:val="clear" w:pos="0"/>
        </w:tabs>
        <w:jc w:val="both"/>
      </w:pPr>
      <w:r>
        <w:rPr>
          <w:highlight w:val="yellow"/>
        </w:rPr>
        <w:fldChar w:fldCharType="begin"/>
      </w:r>
      <w:r>
        <w:rPr>
          <w:highlight w:val="yellow"/>
        </w:rPr>
        <w:instrText xml:space="preserve"> HYPERLINK \l _Toc8935 </w:instrText>
      </w:r>
      <w:r>
        <w:rPr>
          <w:highlight w:val="yellow"/>
        </w:rPr>
        <w:fldChar w:fldCharType="separate"/>
      </w:r>
      <w:r>
        <w:rPr>
          <w:rFonts w:hint="default" w:ascii="Times New Roman" w:hAnsi="Times New Roman" w:eastAsia="宋体" w:cs="Times New Roman"/>
          <w:bCs/>
          <w:i/>
          <w:iCs/>
          <w:lang w:val="en-US" w:eastAsia="zh-CN"/>
        </w:rPr>
        <w:t xml:space="preserve">Proposal 6: </w:t>
      </w:r>
      <w:r>
        <w:rPr>
          <w:rFonts w:hint="eastAsia"/>
          <w:lang w:val="en-US" w:eastAsia="zh-CN"/>
        </w:rPr>
        <w:t xml:space="preserve">Specify new paging configurations to harvest network energy saving gain and meanwhile </w:t>
      </w:r>
      <w:r>
        <w:rPr>
          <w:lang w:val="en-US" w:eastAsia="zh-CN"/>
        </w:rPr>
        <w:t>make sure the minimum impact on</w:t>
      </w:r>
      <w:r>
        <w:rPr>
          <w:rFonts w:hint="eastAsia"/>
          <w:lang w:val="en-US" w:eastAsia="zh-CN"/>
        </w:rPr>
        <w:t xml:space="preserve"> paging false alarming rate and paging latency with characteristic of:</w:t>
      </w:r>
      <w:r>
        <w:rPr>
          <w:highlight w:val="yellow"/>
        </w:rPr>
        <w:fldChar w:fldCharType="end"/>
      </w:r>
    </w:p>
    <w:p>
      <w:pPr>
        <w:pStyle w:val="20"/>
        <w:tabs>
          <w:tab w:val="right" w:leader="dot" w:pos="9660"/>
          <w:tab w:val="clear" w:pos="0"/>
        </w:tabs>
        <w:ind w:leftChars="100"/>
        <w:jc w:val="both"/>
      </w:pPr>
      <w:r>
        <w:rPr>
          <w:highlight w:val="yellow"/>
        </w:rPr>
        <w:fldChar w:fldCharType="begin"/>
      </w:r>
      <w:r>
        <w:rPr>
          <w:highlight w:val="yellow"/>
        </w:rPr>
        <w:instrText xml:space="preserve"> HYPERLINK \l _Toc24301 </w:instrText>
      </w:r>
      <w:r>
        <w:rPr>
          <w:highlight w:val="yellow"/>
        </w:rPr>
        <w:fldChar w:fldCharType="separate"/>
      </w:r>
      <w:r>
        <w:rPr>
          <w:lang w:val="en-US" w:eastAsia="zh-CN"/>
        </w:rPr>
        <w:t xml:space="preserve">(a) </w:t>
      </w:r>
      <w:r>
        <w:rPr>
          <w:rFonts w:hint="eastAsia"/>
          <w:lang w:val="en-US" w:eastAsia="zh-CN"/>
        </w:rPr>
        <w:t>larger periodicity.</w:t>
      </w:r>
      <w:r>
        <w:rPr>
          <w:highlight w:val="yellow"/>
        </w:rPr>
        <w:fldChar w:fldCharType="end"/>
      </w:r>
    </w:p>
    <w:p>
      <w:pPr>
        <w:pStyle w:val="20"/>
        <w:tabs>
          <w:tab w:val="right" w:leader="dot" w:pos="9660"/>
          <w:tab w:val="clear" w:pos="0"/>
        </w:tabs>
        <w:ind w:leftChars="100"/>
        <w:jc w:val="both"/>
      </w:pPr>
      <w:r>
        <w:rPr>
          <w:highlight w:val="yellow"/>
        </w:rPr>
        <w:fldChar w:fldCharType="begin"/>
      </w:r>
      <w:r>
        <w:rPr>
          <w:highlight w:val="yellow"/>
        </w:rPr>
        <w:instrText xml:space="preserve"> HYPERLINK \l _Toc7678 </w:instrText>
      </w:r>
      <w:r>
        <w:rPr>
          <w:highlight w:val="yellow"/>
        </w:rPr>
        <w:fldChar w:fldCharType="separate"/>
      </w:r>
      <w:r>
        <w:rPr>
          <w:lang w:val="en-US" w:eastAsia="zh-CN"/>
        </w:rPr>
        <w:t xml:space="preserve">(b) </w:t>
      </w:r>
      <w:r>
        <w:rPr>
          <w:rFonts w:hint="eastAsia"/>
          <w:lang w:val="en-US" w:eastAsia="zh-CN"/>
        </w:rPr>
        <w:t>compact paging frame for paging occasions within one paging cycle.</w:t>
      </w:r>
      <w:r>
        <w:rPr>
          <w:highlight w:val="yellow"/>
        </w:rPr>
        <w:fldChar w:fldCharType="end"/>
      </w:r>
    </w:p>
    <w:p>
      <w:pPr>
        <w:pStyle w:val="20"/>
        <w:tabs>
          <w:tab w:val="right" w:leader="dot" w:pos="9660"/>
          <w:tab w:val="clear" w:pos="0"/>
        </w:tabs>
        <w:ind w:leftChars="100"/>
        <w:jc w:val="both"/>
      </w:pPr>
      <w:r>
        <w:rPr>
          <w:highlight w:val="yellow"/>
        </w:rPr>
        <w:fldChar w:fldCharType="begin"/>
      </w:r>
      <w:r>
        <w:rPr>
          <w:highlight w:val="yellow"/>
        </w:rPr>
        <w:instrText xml:space="preserve"> HYPERLINK \l _Toc9998 </w:instrText>
      </w:r>
      <w:r>
        <w:rPr>
          <w:highlight w:val="yellow"/>
        </w:rPr>
        <w:fldChar w:fldCharType="separate"/>
      </w:r>
      <w:r>
        <w:rPr>
          <w:lang w:val="en-US" w:eastAsia="zh-CN"/>
        </w:rPr>
        <w:t>(c) backward</w:t>
      </w:r>
      <w:r>
        <w:rPr>
          <w:rFonts w:hint="eastAsia"/>
          <w:lang w:val="en-US" w:eastAsia="zh-CN"/>
        </w:rPr>
        <w:t xml:space="preserve"> compatibility, e.g., comprising some </w:t>
      </w:r>
      <w:r>
        <w:rPr>
          <w:lang w:val="en-US" w:eastAsia="zh-CN"/>
        </w:rPr>
        <w:t xml:space="preserve">legacy </w:t>
      </w:r>
      <w:r>
        <w:rPr>
          <w:rFonts w:hint="eastAsia"/>
          <w:lang w:val="en-US" w:eastAsia="zh-CN"/>
        </w:rPr>
        <w:t>paging occasions in new paging configuration.</w:t>
      </w:r>
      <w:r>
        <w:rPr>
          <w:highlight w:val="yellow"/>
        </w:rPr>
        <w:fldChar w:fldCharType="end"/>
      </w:r>
    </w:p>
    <w:p>
      <w:pPr>
        <w:pStyle w:val="20"/>
        <w:tabs>
          <w:tab w:val="right" w:leader="dot" w:pos="9660"/>
          <w:tab w:val="clear" w:pos="0"/>
        </w:tabs>
        <w:jc w:val="both"/>
      </w:pPr>
      <w:r>
        <w:rPr>
          <w:highlight w:val="yellow"/>
        </w:rPr>
        <w:fldChar w:fldCharType="begin"/>
      </w:r>
      <w:r>
        <w:rPr>
          <w:highlight w:val="yellow"/>
        </w:rPr>
        <w:instrText xml:space="preserve"> HYPERLINK \l _Toc6661 </w:instrText>
      </w:r>
      <w:r>
        <w:rPr>
          <w:highlight w:val="yellow"/>
        </w:rPr>
        <w:fldChar w:fldCharType="separate"/>
      </w:r>
      <w:r>
        <w:rPr>
          <w:rFonts w:hint="default" w:ascii="Times New Roman" w:hAnsi="Times New Roman" w:eastAsia="宋体" w:cs="Times New Roman"/>
          <w:bCs/>
          <w:i/>
          <w:iCs/>
          <w:lang w:val="en-US" w:eastAsia="zh-CN"/>
        </w:rPr>
        <w:t xml:space="preserve">Proposal 7: </w:t>
      </w:r>
      <w:r>
        <w:rPr>
          <w:rFonts w:hint="eastAsia"/>
          <w:lang w:val="en-US" w:eastAsia="zh-CN"/>
        </w:rPr>
        <w:t>DCI based indication can be considered for the paging configuration adaptation.</w:t>
      </w:r>
      <w:r>
        <w:rPr>
          <w:highlight w:val="yellow"/>
        </w:rPr>
        <w:fldChar w:fldCharType="end"/>
      </w:r>
    </w:p>
    <w:p>
      <w:pPr>
        <w:pStyle w:val="20"/>
        <w:tabs>
          <w:tab w:val="right" w:leader="dot" w:pos="9660"/>
          <w:tab w:val="clear" w:pos="0"/>
        </w:tabs>
        <w:jc w:val="both"/>
      </w:pPr>
      <w:r>
        <w:rPr>
          <w:highlight w:val="yellow"/>
        </w:rPr>
        <w:fldChar w:fldCharType="begin"/>
      </w:r>
      <w:r>
        <w:rPr>
          <w:highlight w:val="yellow"/>
        </w:rPr>
        <w:instrText xml:space="preserve"> HYPERLINK \l _Toc13278 </w:instrText>
      </w:r>
      <w:r>
        <w:rPr>
          <w:highlight w:val="yellow"/>
        </w:rPr>
        <w:fldChar w:fldCharType="separate"/>
      </w:r>
      <w:r>
        <w:rPr>
          <w:rFonts w:hint="default" w:ascii="Times New Roman" w:hAnsi="Times New Roman" w:eastAsia="宋体" w:cs="Times New Roman"/>
          <w:bCs/>
          <w:i/>
          <w:iCs/>
          <w:lang w:val="en-US" w:eastAsia="zh-CN"/>
        </w:rPr>
        <w:t xml:space="preserve">Proposal 8: </w:t>
      </w:r>
      <w:r>
        <w:rPr>
          <w:rFonts w:hint="eastAsia"/>
          <w:lang w:val="en-US" w:eastAsia="zh-CN"/>
        </w:rPr>
        <w:t>A unified signaling can be considered for the indication of SSB adaptation, PRACH adaptation and paging adaptation.</w:t>
      </w:r>
      <w:r>
        <w:rPr>
          <w:highlight w:val="yellow"/>
        </w:rPr>
        <w:fldChar w:fldCharType="end"/>
      </w:r>
    </w:p>
    <w:p>
      <w:pPr>
        <w:spacing w:before="120" w:after="120"/>
        <w:jc w:val="both"/>
        <w:rPr>
          <w:highlight w:val="yellow"/>
        </w:rPr>
      </w:pPr>
      <w:r>
        <w:rPr>
          <w:highlight w:val="yellow"/>
        </w:rPr>
        <w:fldChar w:fldCharType="end"/>
      </w:r>
    </w:p>
    <w:p>
      <w:pPr>
        <w:pStyle w:val="2"/>
        <w:spacing w:before="120" w:after="120"/>
        <w:ind w:left="0"/>
        <w:rPr>
          <w:rFonts w:eastAsia="宋体"/>
        </w:rPr>
      </w:pPr>
      <w:r>
        <w:rPr>
          <w:rFonts w:hint="eastAsia" w:eastAsia="宋体"/>
        </w:rPr>
        <w:t>Reference</w:t>
      </w:r>
      <w:r>
        <w:rPr>
          <w:rFonts w:eastAsia="宋体"/>
        </w:rPr>
        <w:t>s</w:t>
      </w:r>
    </w:p>
    <w:p>
      <w:pPr>
        <w:pStyle w:val="39"/>
        <w:spacing w:before="120" w:after="120"/>
        <w:ind w:left="363" w:hanging="363"/>
      </w:pPr>
      <w:r>
        <w:rPr>
          <w:rFonts w:hint="eastAsia"/>
        </w:rPr>
        <w:t xml:space="preserve">RP-234065 </w:t>
      </w:r>
      <w:r>
        <w:t>“</w:t>
      </w:r>
      <w:r>
        <w:rPr>
          <w:rFonts w:hint="eastAsia"/>
        </w:rPr>
        <w:t>New WID: Enhancements of network energy savings for NR</w:t>
      </w:r>
      <w:r>
        <w:t>”</w:t>
      </w:r>
      <w:r>
        <w:rPr>
          <w:rFonts w:hint="eastAsia"/>
        </w:rPr>
        <w:t>, Ericsson, 3GPP TSG RAN meeting #102, Edinburgh, Scotland, December 11th-15th, 2023.</w:t>
      </w:r>
    </w:p>
    <w:p>
      <w:pPr>
        <w:pStyle w:val="39"/>
        <w:spacing w:before="120" w:after="120"/>
        <w:ind w:left="363" w:hanging="363"/>
      </w:pPr>
      <w:r>
        <w:rPr>
          <w:rFonts w:hint="eastAsia"/>
        </w:rPr>
        <w:t>TS 38.213, V18.0.0, Physical layer procedures for control (Release 18).</w:t>
      </w:r>
    </w:p>
    <w:p>
      <w:pPr>
        <w:pStyle w:val="39"/>
        <w:spacing w:before="120" w:after="120"/>
        <w:ind w:left="363" w:hanging="363"/>
      </w:pPr>
      <w:r>
        <w:rPr>
          <w:rFonts w:hint="eastAsia"/>
        </w:rPr>
        <w:t>TS 38.331, V18.0.0, Radio Resource Control (RRC) protocol specification (Release 18).</w:t>
      </w:r>
    </w:p>
    <w:p>
      <w:pPr>
        <w:pStyle w:val="39"/>
        <w:spacing w:before="120" w:after="120"/>
        <w:ind w:left="363" w:hanging="363"/>
      </w:pPr>
      <w:r>
        <w:rPr>
          <w:rFonts w:hint="eastAsia"/>
        </w:rPr>
        <w:t>TS 38.214, V18.0.0, Physical channels and modulation (Release 18).</w:t>
      </w:r>
    </w:p>
    <w:p>
      <w:pPr>
        <w:pStyle w:val="39"/>
        <w:spacing w:before="120" w:after="120"/>
        <w:ind w:left="363" w:hanging="363"/>
      </w:pPr>
      <w:r>
        <w:rPr>
          <w:rFonts w:hint="eastAsia"/>
        </w:rPr>
        <w:t>TS 38.304, V18.0.0, User Equipment (UE) procedures in idle mode and RRC inactive state. (Release 18)</w:t>
      </w:r>
    </w:p>
    <w:p>
      <w:pPr>
        <w:pStyle w:val="39"/>
        <w:numPr>
          <w:ilvl w:val="0"/>
          <w:numId w:val="0"/>
        </w:numPr>
        <w:spacing w:before="120" w:after="120"/>
      </w:pPr>
    </w:p>
    <w:p>
      <w:pPr>
        <w:pStyle w:val="39"/>
        <w:numPr>
          <w:ilvl w:val="0"/>
          <w:numId w:val="0"/>
        </w:numPr>
        <w:spacing w:before="120" w:after="120"/>
        <w:rPr>
          <w:color w:val="FF0000"/>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pPr>
                            <w:pStyle w:val="18"/>
                            <w:spacing w:before="120" w:after="120"/>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8"/>
                      <w:spacing w:before="120" w:after="120"/>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34B193"/>
    <w:multiLevelType w:val="singleLevel"/>
    <w:tmpl w:val="AB34B193"/>
    <w:lvl w:ilvl="0" w:tentative="0">
      <w:start w:val="1"/>
      <w:numFmt w:val="decimal"/>
      <w:pStyle w:val="60"/>
      <w:lvlText w:val="Observation %1: "/>
      <w:lvlJc w:val="left"/>
      <w:pPr>
        <w:tabs>
          <w:tab w:val="left" w:pos="0"/>
        </w:tabs>
        <w:ind w:left="0" w:firstLine="0"/>
      </w:pPr>
      <w:rPr>
        <w:rFonts w:hint="default" w:ascii="Times New Roman" w:hAnsi="Times New Roman" w:eastAsia="宋体" w:cs="Times New Roman"/>
        <w:b/>
        <w:bCs/>
        <w:i/>
        <w:iCs/>
        <w:lang w:val="en-US"/>
      </w:rPr>
    </w:lvl>
  </w:abstractNum>
  <w:abstractNum w:abstractNumId="1">
    <w:nsid w:val="BD0CA652"/>
    <w:multiLevelType w:val="multilevel"/>
    <w:tmpl w:val="BD0CA652"/>
    <w:lvl w:ilvl="0" w:tentative="0">
      <w:start w:val="1"/>
      <w:numFmt w:val="decimal"/>
      <w:pStyle w:val="63"/>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CA812649"/>
    <w:multiLevelType w:val="singleLevel"/>
    <w:tmpl w:val="CA812649"/>
    <w:lvl w:ilvl="0" w:tentative="0">
      <w:start w:val="1"/>
      <w:numFmt w:val="lowerLetter"/>
      <w:suff w:val="space"/>
      <w:lvlText w:val="(%1)"/>
      <w:lvlJc w:val="left"/>
      <w:pPr>
        <w:ind w:left="420"/>
      </w:pPr>
    </w:lvl>
  </w:abstractNum>
  <w:abstractNum w:abstractNumId="3">
    <w:nsid w:val="048B349B"/>
    <w:multiLevelType w:val="singleLevel"/>
    <w:tmpl w:val="048B349B"/>
    <w:lvl w:ilvl="0" w:tentative="0">
      <w:start w:val="1"/>
      <w:numFmt w:val="lowerLetter"/>
      <w:suff w:val="space"/>
      <w:lvlText w:val="(%1)"/>
      <w:lvlJc w:val="left"/>
    </w:lvl>
  </w:abstractNum>
  <w:abstractNum w:abstractNumId="4">
    <w:nsid w:val="0BDD5F2B"/>
    <w:multiLevelType w:val="multilevel"/>
    <w:tmpl w:val="0BDD5F2B"/>
    <w:lvl w:ilvl="0" w:tentative="0">
      <w:start w:val="1"/>
      <w:numFmt w:val="decimal"/>
      <w:pStyle w:val="2"/>
      <w:suff w:val="nothing"/>
      <w:lvlText w:val="%1  "/>
      <w:lvlJc w:val="left"/>
      <w:pPr>
        <w:ind w:left="4962"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2977"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0" w:firstLine="0"/>
      </w:pPr>
      <w:rPr>
        <w:rFonts w:hint="default" w:ascii="Arial" w:hAnsi="Arial" w:cs="Arial"/>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0E744147"/>
    <w:multiLevelType w:val="singleLevel"/>
    <w:tmpl w:val="0E744147"/>
    <w:lvl w:ilvl="0" w:tentative="0">
      <w:start w:val="1"/>
      <w:numFmt w:val="bullet"/>
      <w:lvlText w:val=""/>
      <w:lvlJc w:val="left"/>
      <w:pPr>
        <w:tabs>
          <w:tab w:val="left" w:pos="420"/>
        </w:tabs>
        <w:ind w:left="840" w:hanging="420"/>
      </w:pPr>
      <w:rPr>
        <w:rFonts w:hint="default" w:ascii="Wingdings" w:hAnsi="Wingdings" w:cs="Wingdings"/>
      </w:rPr>
    </w:lvl>
  </w:abstractNum>
  <w:abstractNum w:abstractNumId="6">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7">
    <w:nsid w:val="6CE432D0"/>
    <w:multiLevelType w:val="singleLevel"/>
    <w:tmpl w:val="6CE432D0"/>
    <w:lvl w:ilvl="0" w:tentative="0">
      <w:start w:val="1"/>
      <w:numFmt w:val="lowerLetter"/>
      <w:suff w:val="space"/>
      <w:lvlText w:val="(%1)"/>
      <w:lvlJc w:val="left"/>
      <w:pPr>
        <w:ind w:left="420"/>
      </w:pPr>
    </w:lvl>
  </w:abstractNum>
  <w:abstractNum w:abstractNumId="8">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6"/>
  </w:num>
  <w:num w:numId="3">
    <w:abstractNumId w:val="0"/>
  </w:num>
  <w:num w:numId="4">
    <w:abstractNumId w:val="1"/>
  </w:num>
  <w:num w:numId="5">
    <w:abstractNumId w:val="8"/>
  </w:num>
  <w:num w:numId="6">
    <w:abstractNumId w:val="3"/>
  </w:num>
  <w:num w:numId="7">
    <w:abstractNumId w:val="7"/>
  </w:num>
  <w:num w:numId="8">
    <w:abstractNumId w:val="5"/>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50423"/>
    <w:rsid w:val="00051F4E"/>
    <w:rsid w:val="000529AC"/>
    <w:rsid w:val="00072FB0"/>
    <w:rsid w:val="00093DF3"/>
    <w:rsid w:val="000A15BE"/>
    <w:rsid w:val="000C1A96"/>
    <w:rsid w:val="000D0462"/>
    <w:rsid w:val="000E2433"/>
    <w:rsid w:val="000F28CA"/>
    <w:rsid w:val="00103906"/>
    <w:rsid w:val="00142961"/>
    <w:rsid w:val="001470AA"/>
    <w:rsid w:val="00153BF7"/>
    <w:rsid w:val="0016113B"/>
    <w:rsid w:val="001622FF"/>
    <w:rsid w:val="001632AB"/>
    <w:rsid w:val="00172A27"/>
    <w:rsid w:val="001754AE"/>
    <w:rsid w:val="0018732E"/>
    <w:rsid w:val="00191912"/>
    <w:rsid w:val="00195F46"/>
    <w:rsid w:val="001B3634"/>
    <w:rsid w:val="001C1894"/>
    <w:rsid w:val="001C196F"/>
    <w:rsid w:val="001D1287"/>
    <w:rsid w:val="001E125B"/>
    <w:rsid w:val="001E262F"/>
    <w:rsid w:val="001F1BB1"/>
    <w:rsid w:val="001F415E"/>
    <w:rsid w:val="001F6E58"/>
    <w:rsid w:val="0020406B"/>
    <w:rsid w:val="00212872"/>
    <w:rsid w:val="0021360B"/>
    <w:rsid w:val="00216169"/>
    <w:rsid w:val="002240E1"/>
    <w:rsid w:val="00224A1A"/>
    <w:rsid w:val="00227DF5"/>
    <w:rsid w:val="002320CA"/>
    <w:rsid w:val="002401EC"/>
    <w:rsid w:val="00243B44"/>
    <w:rsid w:val="00244ABB"/>
    <w:rsid w:val="00247A67"/>
    <w:rsid w:val="00251814"/>
    <w:rsid w:val="00256B05"/>
    <w:rsid w:val="00261C72"/>
    <w:rsid w:val="0026766E"/>
    <w:rsid w:val="002748A9"/>
    <w:rsid w:val="00282069"/>
    <w:rsid w:val="002B4661"/>
    <w:rsid w:val="002C4448"/>
    <w:rsid w:val="002C68AC"/>
    <w:rsid w:val="002C7CCD"/>
    <w:rsid w:val="002F037D"/>
    <w:rsid w:val="002F0E7A"/>
    <w:rsid w:val="002F2535"/>
    <w:rsid w:val="002F5687"/>
    <w:rsid w:val="002F5A8D"/>
    <w:rsid w:val="00302F20"/>
    <w:rsid w:val="00303936"/>
    <w:rsid w:val="00314748"/>
    <w:rsid w:val="00315B5C"/>
    <w:rsid w:val="00316046"/>
    <w:rsid w:val="00317501"/>
    <w:rsid w:val="00322EE2"/>
    <w:rsid w:val="00325902"/>
    <w:rsid w:val="003275A3"/>
    <w:rsid w:val="00332D30"/>
    <w:rsid w:val="0033573E"/>
    <w:rsid w:val="00335FF9"/>
    <w:rsid w:val="0034009F"/>
    <w:rsid w:val="00340631"/>
    <w:rsid w:val="00343CE4"/>
    <w:rsid w:val="00344E48"/>
    <w:rsid w:val="003466BB"/>
    <w:rsid w:val="0035253F"/>
    <w:rsid w:val="00361D52"/>
    <w:rsid w:val="003704FF"/>
    <w:rsid w:val="00370D7F"/>
    <w:rsid w:val="00372A00"/>
    <w:rsid w:val="00373667"/>
    <w:rsid w:val="00376E4B"/>
    <w:rsid w:val="00376EEB"/>
    <w:rsid w:val="003872BB"/>
    <w:rsid w:val="00396F31"/>
    <w:rsid w:val="00397BA3"/>
    <w:rsid w:val="003A1DCE"/>
    <w:rsid w:val="003A4365"/>
    <w:rsid w:val="003A6BBE"/>
    <w:rsid w:val="003A7EAD"/>
    <w:rsid w:val="003B53DF"/>
    <w:rsid w:val="003D44C6"/>
    <w:rsid w:val="003F7415"/>
    <w:rsid w:val="004003D2"/>
    <w:rsid w:val="00417C55"/>
    <w:rsid w:val="004209E1"/>
    <w:rsid w:val="0042238B"/>
    <w:rsid w:val="00424C58"/>
    <w:rsid w:val="00450C17"/>
    <w:rsid w:val="004527B1"/>
    <w:rsid w:val="004545A5"/>
    <w:rsid w:val="004608F6"/>
    <w:rsid w:val="004724B4"/>
    <w:rsid w:val="00472B06"/>
    <w:rsid w:val="00477655"/>
    <w:rsid w:val="0048120F"/>
    <w:rsid w:val="00482706"/>
    <w:rsid w:val="00490434"/>
    <w:rsid w:val="00495C90"/>
    <w:rsid w:val="004A142B"/>
    <w:rsid w:val="004A5D1D"/>
    <w:rsid w:val="004A699E"/>
    <w:rsid w:val="004B44A9"/>
    <w:rsid w:val="004C1A54"/>
    <w:rsid w:val="004F5994"/>
    <w:rsid w:val="00500F45"/>
    <w:rsid w:val="00503921"/>
    <w:rsid w:val="00507A00"/>
    <w:rsid w:val="005176E7"/>
    <w:rsid w:val="00523589"/>
    <w:rsid w:val="00523668"/>
    <w:rsid w:val="00523AD9"/>
    <w:rsid w:val="00523D5E"/>
    <w:rsid w:val="00527033"/>
    <w:rsid w:val="00531B5B"/>
    <w:rsid w:val="00532500"/>
    <w:rsid w:val="005349A5"/>
    <w:rsid w:val="00541B22"/>
    <w:rsid w:val="00546436"/>
    <w:rsid w:val="00547723"/>
    <w:rsid w:val="00564BCB"/>
    <w:rsid w:val="00572F6E"/>
    <w:rsid w:val="00574776"/>
    <w:rsid w:val="0058526A"/>
    <w:rsid w:val="0059321F"/>
    <w:rsid w:val="00593818"/>
    <w:rsid w:val="005A05C6"/>
    <w:rsid w:val="005A0FE9"/>
    <w:rsid w:val="005B77A5"/>
    <w:rsid w:val="005C6B42"/>
    <w:rsid w:val="005D5019"/>
    <w:rsid w:val="005D6A1C"/>
    <w:rsid w:val="005E2C89"/>
    <w:rsid w:val="005F26E5"/>
    <w:rsid w:val="005F4271"/>
    <w:rsid w:val="00611232"/>
    <w:rsid w:val="00614E28"/>
    <w:rsid w:val="00617327"/>
    <w:rsid w:val="00617EE7"/>
    <w:rsid w:val="00620288"/>
    <w:rsid w:val="00620D7C"/>
    <w:rsid w:val="006231ED"/>
    <w:rsid w:val="00624C23"/>
    <w:rsid w:val="00633E43"/>
    <w:rsid w:val="00637D11"/>
    <w:rsid w:val="00640B94"/>
    <w:rsid w:val="00642298"/>
    <w:rsid w:val="00646EAA"/>
    <w:rsid w:val="006501AA"/>
    <w:rsid w:val="006536B8"/>
    <w:rsid w:val="00654F58"/>
    <w:rsid w:val="00674739"/>
    <w:rsid w:val="00676C72"/>
    <w:rsid w:val="00680FFF"/>
    <w:rsid w:val="00691376"/>
    <w:rsid w:val="006922EF"/>
    <w:rsid w:val="00694EF8"/>
    <w:rsid w:val="00694FB9"/>
    <w:rsid w:val="006C2229"/>
    <w:rsid w:val="006C55B1"/>
    <w:rsid w:val="006C69C1"/>
    <w:rsid w:val="006D11DE"/>
    <w:rsid w:val="006D3D89"/>
    <w:rsid w:val="006E01C3"/>
    <w:rsid w:val="006F4852"/>
    <w:rsid w:val="00700636"/>
    <w:rsid w:val="00701BF9"/>
    <w:rsid w:val="007036F7"/>
    <w:rsid w:val="0070691A"/>
    <w:rsid w:val="0070693A"/>
    <w:rsid w:val="00717A38"/>
    <w:rsid w:val="0073053B"/>
    <w:rsid w:val="00735DC1"/>
    <w:rsid w:val="007427BB"/>
    <w:rsid w:val="007440A2"/>
    <w:rsid w:val="00745143"/>
    <w:rsid w:val="00747C56"/>
    <w:rsid w:val="007501AC"/>
    <w:rsid w:val="00762F1B"/>
    <w:rsid w:val="0076682E"/>
    <w:rsid w:val="0077581A"/>
    <w:rsid w:val="0077761A"/>
    <w:rsid w:val="00784828"/>
    <w:rsid w:val="00785A2A"/>
    <w:rsid w:val="00786A2C"/>
    <w:rsid w:val="00787FA9"/>
    <w:rsid w:val="007A0CD8"/>
    <w:rsid w:val="007B0FD9"/>
    <w:rsid w:val="007B458B"/>
    <w:rsid w:val="007C4328"/>
    <w:rsid w:val="007C440F"/>
    <w:rsid w:val="007E4A23"/>
    <w:rsid w:val="007F39F4"/>
    <w:rsid w:val="00802A15"/>
    <w:rsid w:val="00810C42"/>
    <w:rsid w:val="00816EF3"/>
    <w:rsid w:val="008266C4"/>
    <w:rsid w:val="008412CD"/>
    <w:rsid w:val="0084332A"/>
    <w:rsid w:val="00847621"/>
    <w:rsid w:val="00852635"/>
    <w:rsid w:val="0085443B"/>
    <w:rsid w:val="00857E93"/>
    <w:rsid w:val="008652E8"/>
    <w:rsid w:val="00870679"/>
    <w:rsid w:val="00870E40"/>
    <w:rsid w:val="00886E49"/>
    <w:rsid w:val="00886EA7"/>
    <w:rsid w:val="00892B4C"/>
    <w:rsid w:val="00893268"/>
    <w:rsid w:val="0089344F"/>
    <w:rsid w:val="00894520"/>
    <w:rsid w:val="008A72B5"/>
    <w:rsid w:val="008B3130"/>
    <w:rsid w:val="008B547D"/>
    <w:rsid w:val="008B5C48"/>
    <w:rsid w:val="008B7F10"/>
    <w:rsid w:val="008C0445"/>
    <w:rsid w:val="008F255E"/>
    <w:rsid w:val="008F3DC8"/>
    <w:rsid w:val="00903A35"/>
    <w:rsid w:val="00922624"/>
    <w:rsid w:val="00923BDA"/>
    <w:rsid w:val="0093617A"/>
    <w:rsid w:val="009411A5"/>
    <w:rsid w:val="00946A7C"/>
    <w:rsid w:val="00950DB1"/>
    <w:rsid w:val="00952C83"/>
    <w:rsid w:val="00957418"/>
    <w:rsid w:val="009610C6"/>
    <w:rsid w:val="0096194F"/>
    <w:rsid w:val="00966E7D"/>
    <w:rsid w:val="00970630"/>
    <w:rsid w:val="00971A1F"/>
    <w:rsid w:val="009734B7"/>
    <w:rsid w:val="00983FE2"/>
    <w:rsid w:val="00986B97"/>
    <w:rsid w:val="00994A41"/>
    <w:rsid w:val="009A380A"/>
    <w:rsid w:val="009A3A36"/>
    <w:rsid w:val="009A4F31"/>
    <w:rsid w:val="009B05AD"/>
    <w:rsid w:val="009B18A3"/>
    <w:rsid w:val="009B5557"/>
    <w:rsid w:val="009D6400"/>
    <w:rsid w:val="009D7770"/>
    <w:rsid w:val="009D7C12"/>
    <w:rsid w:val="009F65A8"/>
    <w:rsid w:val="009F7747"/>
    <w:rsid w:val="00A05A33"/>
    <w:rsid w:val="00A14F22"/>
    <w:rsid w:val="00A171E5"/>
    <w:rsid w:val="00A17810"/>
    <w:rsid w:val="00A21523"/>
    <w:rsid w:val="00A26720"/>
    <w:rsid w:val="00A33BD9"/>
    <w:rsid w:val="00A40C3F"/>
    <w:rsid w:val="00A4182C"/>
    <w:rsid w:val="00A50B2A"/>
    <w:rsid w:val="00A51CDD"/>
    <w:rsid w:val="00A54A48"/>
    <w:rsid w:val="00A551E2"/>
    <w:rsid w:val="00A56849"/>
    <w:rsid w:val="00A64DED"/>
    <w:rsid w:val="00A656E5"/>
    <w:rsid w:val="00A809DB"/>
    <w:rsid w:val="00A86EB5"/>
    <w:rsid w:val="00A91773"/>
    <w:rsid w:val="00A92854"/>
    <w:rsid w:val="00A92CA8"/>
    <w:rsid w:val="00AA1889"/>
    <w:rsid w:val="00AB0AAF"/>
    <w:rsid w:val="00AB251B"/>
    <w:rsid w:val="00AB5108"/>
    <w:rsid w:val="00AB6D34"/>
    <w:rsid w:val="00AC24BF"/>
    <w:rsid w:val="00AD56C4"/>
    <w:rsid w:val="00AD7FE5"/>
    <w:rsid w:val="00AE5530"/>
    <w:rsid w:val="00B031EF"/>
    <w:rsid w:val="00B11405"/>
    <w:rsid w:val="00B138E9"/>
    <w:rsid w:val="00B179E3"/>
    <w:rsid w:val="00B245AA"/>
    <w:rsid w:val="00B34FF8"/>
    <w:rsid w:val="00B43645"/>
    <w:rsid w:val="00B54730"/>
    <w:rsid w:val="00B56091"/>
    <w:rsid w:val="00B60F6C"/>
    <w:rsid w:val="00B663FA"/>
    <w:rsid w:val="00B76824"/>
    <w:rsid w:val="00B81C3C"/>
    <w:rsid w:val="00B87AB7"/>
    <w:rsid w:val="00BA72B7"/>
    <w:rsid w:val="00BA7674"/>
    <w:rsid w:val="00BB08C4"/>
    <w:rsid w:val="00BD72A5"/>
    <w:rsid w:val="00BE22EC"/>
    <w:rsid w:val="00BE5D22"/>
    <w:rsid w:val="00BF526E"/>
    <w:rsid w:val="00BF743C"/>
    <w:rsid w:val="00C07C74"/>
    <w:rsid w:val="00C12784"/>
    <w:rsid w:val="00C16276"/>
    <w:rsid w:val="00C2142E"/>
    <w:rsid w:val="00C22FCF"/>
    <w:rsid w:val="00C2334E"/>
    <w:rsid w:val="00C2713A"/>
    <w:rsid w:val="00C34FD0"/>
    <w:rsid w:val="00C625E3"/>
    <w:rsid w:val="00C67AE3"/>
    <w:rsid w:val="00C76271"/>
    <w:rsid w:val="00C829B3"/>
    <w:rsid w:val="00C855D2"/>
    <w:rsid w:val="00C922BC"/>
    <w:rsid w:val="00C925E7"/>
    <w:rsid w:val="00CA09F5"/>
    <w:rsid w:val="00CA152B"/>
    <w:rsid w:val="00CB03D7"/>
    <w:rsid w:val="00CB046A"/>
    <w:rsid w:val="00CB7FB3"/>
    <w:rsid w:val="00CC01B0"/>
    <w:rsid w:val="00CC11A8"/>
    <w:rsid w:val="00CC2CD6"/>
    <w:rsid w:val="00CD5E4A"/>
    <w:rsid w:val="00CD62C4"/>
    <w:rsid w:val="00CE32ED"/>
    <w:rsid w:val="00CF0062"/>
    <w:rsid w:val="00CF25E8"/>
    <w:rsid w:val="00CF4293"/>
    <w:rsid w:val="00D06F00"/>
    <w:rsid w:val="00D14578"/>
    <w:rsid w:val="00D24465"/>
    <w:rsid w:val="00D27BF8"/>
    <w:rsid w:val="00D30D70"/>
    <w:rsid w:val="00D30FF6"/>
    <w:rsid w:val="00D54F1B"/>
    <w:rsid w:val="00D57D7B"/>
    <w:rsid w:val="00D60DA9"/>
    <w:rsid w:val="00D701BB"/>
    <w:rsid w:val="00D714E2"/>
    <w:rsid w:val="00D7289E"/>
    <w:rsid w:val="00D82051"/>
    <w:rsid w:val="00D82CF5"/>
    <w:rsid w:val="00D838A0"/>
    <w:rsid w:val="00D871C4"/>
    <w:rsid w:val="00D8785A"/>
    <w:rsid w:val="00D91349"/>
    <w:rsid w:val="00D92E3B"/>
    <w:rsid w:val="00DB0E95"/>
    <w:rsid w:val="00DB12AD"/>
    <w:rsid w:val="00DB505E"/>
    <w:rsid w:val="00DC0C4F"/>
    <w:rsid w:val="00DC1213"/>
    <w:rsid w:val="00DC6E1E"/>
    <w:rsid w:val="00DC70F6"/>
    <w:rsid w:val="00DC724A"/>
    <w:rsid w:val="00DD5F49"/>
    <w:rsid w:val="00DF4482"/>
    <w:rsid w:val="00E05651"/>
    <w:rsid w:val="00E068AA"/>
    <w:rsid w:val="00E258FC"/>
    <w:rsid w:val="00E30348"/>
    <w:rsid w:val="00E339EA"/>
    <w:rsid w:val="00E52879"/>
    <w:rsid w:val="00E55791"/>
    <w:rsid w:val="00E56340"/>
    <w:rsid w:val="00E67009"/>
    <w:rsid w:val="00E704FD"/>
    <w:rsid w:val="00E74935"/>
    <w:rsid w:val="00E75D6F"/>
    <w:rsid w:val="00E8609B"/>
    <w:rsid w:val="00E91559"/>
    <w:rsid w:val="00E92BF0"/>
    <w:rsid w:val="00E94718"/>
    <w:rsid w:val="00E95FFE"/>
    <w:rsid w:val="00EA0820"/>
    <w:rsid w:val="00EB70EA"/>
    <w:rsid w:val="00ED0DCA"/>
    <w:rsid w:val="00ED47A7"/>
    <w:rsid w:val="00EE1EE7"/>
    <w:rsid w:val="00F019E9"/>
    <w:rsid w:val="00F05DFC"/>
    <w:rsid w:val="00F072E8"/>
    <w:rsid w:val="00F143A1"/>
    <w:rsid w:val="00F1480F"/>
    <w:rsid w:val="00F179F3"/>
    <w:rsid w:val="00F2072B"/>
    <w:rsid w:val="00F34277"/>
    <w:rsid w:val="00F4372E"/>
    <w:rsid w:val="00F453FE"/>
    <w:rsid w:val="00F71825"/>
    <w:rsid w:val="00F80169"/>
    <w:rsid w:val="00F81514"/>
    <w:rsid w:val="00F82200"/>
    <w:rsid w:val="00F86352"/>
    <w:rsid w:val="00F87040"/>
    <w:rsid w:val="00F95A32"/>
    <w:rsid w:val="00FA3FD9"/>
    <w:rsid w:val="00FA6AF6"/>
    <w:rsid w:val="00FA7D65"/>
    <w:rsid w:val="00FB593A"/>
    <w:rsid w:val="00FC20D8"/>
    <w:rsid w:val="00FC72FB"/>
    <w:rsid w:val="00FE0900"/>
    <w:rsid w:val="010D0267"/>
    <w:rsid w:val="010D6400"/>
    <w:rsid w:val="01116D56"/>
    <w:rsid w:val="011C7F2E"/>
    <w:rsid w:val="013B3CF1"/>
    <w:rsid w:val="01466B34"/>
    <w:rsid w:val="015462A2"/>
    <w:rsid w:val="01804EE8"/>
    <w:rsid w:val="01864AED"/>
    <w:rsid w:val="01881F56"/>
    <w:rsid w:val="01B74129"/>
    <w:rsid w:val="01C652D7"/>
    <w:rsid w:val="01E24E7A"/>
    <w:rsid w:val="01E96EEF"/>
    <w:rsid w:val="0206750A"/>
    <w:rsid w:val="02081A95"/>
    <w:rsid w:val="020C3735"/>
    <w:rsid w:val="0213167F"/>
    <w:rsid w:val="021919F7"/>
    <w:rsid w:val="021F5697"/>
    <w:rsid w:val="023E4DC6"/>
    <w:rsid w:val="02443513"/>
    <w:rsid w:val="024C16A6"/>
    <w:rsid w:val="027B6543"/>
    <w:rsid w:val="027C2452"/>
    <w:rsid w:val="0294765E"/>
    <w:rsid w:val="02A23A7B"/>
    <w:rsid w:val="02BE42E8"/>
    <w:rsid w:val="02C91126"/>
    <w:rsid w:val="031A6DDF"/>
    <w:rsid w:val="032219B3"/>
    <w:rsid w:val="035F7137"/>
    <w:rsid w:val="0368661B"/>
    <w:rsid w:val="03817C6C"/>
    <w:rsid w:val="03F50BF8"/>
    <w:rsid w:val="03F757EE"/>
    <w:rsid w:val="040D5006"/>
    <w:rsid w:val="04176B15"/>
    <w:rsid w:val="04250069"/>
    <w:rsid w:val="04332B60"/>
    <w:rsid w:val="044D1A33"/>
    <w:rsid w:val="04B147BC"/>
    <w:rsid w:val="04BB6B80"/>
    <w:rsid w:val="04BC60C1"/>
    <w:rsid w:val="04C30E81"/>
    <w:rsid w:val="04D2235B"/>
    <w:rsid w:val="04D92E2A"/>
    <w:rsid w:val="04E942AF"/>
    <w:rsid w:val="05072F43"/>
    <w:rsid w:val="051A21ED"/>
    <w:rsid w:val="052E7C86"/>
    <w:rsid w:val="05396067"/>
    <w:rsid w:val="053962A9"/>
    <w:rsid w:val="05421686"/>
    <w:rsid w:val="054B7C66"/>
    <w:rsid w:val="054E3F97"/>
    <w:rsid w:val="054F7EC4"/>
    <w:rsid w:val="055F3E8F"/>
    <w:rsid w:val="05631304"/>
    <w:rsid w:val="05965B13"/>
    <w:rsid w:val="05AA751F"/>
    <w:rsid w:val="05AB3E4C"/>
    <w:rsid w:val="05C40254"/>
    <w:rsid w:val="05D01949"/>
    <w:rsid w:val="05D45DE8"/>
    <w:rsid w:val="05DD3B0E"/>
    <w:rsid w:val="06083F43"/>
    <w:rsid w:val="061E71D7"/>
    <w:rsid w:val="064D537E"/>
    <w:rsid w:val="06541F59"/>
    <w:rsid w:val="06551195"/>
    <w:rsid w:val="067056D9"/>
    <w:rsid w:val="067A5C39"/>
    <w:rsid w:val="067F5C8B"/>
    <w:rsid w:val="06883795"/>
    <w:rsid w:val="069258CC"/>
    <w:rsid w:val="06A12B72"/>
    <w:rsid w:val="06D94F62"/>
    <w:rsid w:val="06E930D6"/>
    <w:rsid w:val="06F9688C"/>
    <w:rsid w:val="06FA3145"/>
    <w:rsid w:val="073C0F1E"/>
    <w:rsid w:val="07573824"/>
    <w:rsid w:val="075A5568"/>
    <w:rsid w:val="077046F9"/>
    <w:rsid w:val="07816512"/>
    <w:rsid w:val="0797540B"/>
    <w:rsid w:val="07C51163"/>
    <w:rsid w:val="07F63B68"/>
    <w:rsid w:val="07FE43B3"/>
    <w:rsid w:val="07FF469C"/>
    <w:rsid w:val="08067A83"/>
    <w:rsid w:val="080C2DB1"/>
    <w:rsid w:val="083900EE"/>
    <w:rsid w:val="084F55D9"/>
    <w:rsid w:val="086F5C08"/>
    <w:rsid w:val="087807B5"/>
    <w:rsid w:val="087C2BF1"/>
    <w:rsid w:val="089D4BC3"/>
    <w:rsid w:val="08A367A0"/>
    <w:rsid w:val="08AD693C"/>
    <w:rsid w:val="08CA4673"/>
    <w:rsid w:val="08D24C49"/>
    <w:rsid w:val="08D545C6"/>
    <w:rsid w:val="08D92F9A"/>
    <w:rsid w:val="08E152BA"/>
    <w:rsid w:val="08E3236B"/>
    <w:rsid w:val="08E41C3F"/>
    <w:rsid w:val="08F362FF"/>
    <w:rsid w:val="08F76659"/>
    <w:rsid w:val="092A35DC"/>
    <w:rsid w:val="09733A93"/>
    <w:rsid w:val="09773AD2"/>
    <w:rsid w:val="09912D87"/>
    <w:rsid w:val="099D1F0E"/>
    <w:rsid w:val="09A13012"/>
    <w:rsid w:val="09B8038E"/>
    <w:rsid w:val="09B807DC"/>
    <w:rsid w:val="09B96487"/>
    <w:rsid w:val="09BB1324"/>
    <w:rsid w:val="09DD5F33"/>
    <w:rsid w:val="09E2510B"/>
    <w:rsid w:val="09E2618B"/>
    <w:rsid w:val="0A0D0A5C"/>
    <w:rsid w:val="0A1332A7"/>
    <w:rsid w:val="0A1434BD"/>
    <w:rsid w:val="0A177598"/>
    <w:rsid w:val="0A2A0A4E"/>
    <w:rsid w:val="0A33259C"/>
    <w:rsid w:val="0A670FF2"/>
    <w:rsid w:val="0A902401"/>
    <w:rsid w:val="0AA04A08"/>
    <w:rsid w:val="0AC857E6"/>
    <w:rsid w:val="0AF011AC"/>
    <w:rsid w:val="0AFE6CA0"/>
    <w:rsid w:val="0B133891"/>
    <w:rsid w:val="0B17278B"/>
    <w:rsid w:val="0B2161DE"/>
    <w:rsid w:val="0B24227A"/>
    <w:rsid w:val="0B2C066D"/>
    <w:rsid w:val="0B372F62"/>
    <w:rsid w:val="0B527D96"/>
    <w:rsid w:val="0B867DD4"/>
    <w:rsid w:val="0B8906D5"/>
    <w:rsid w:val="0B990F05"/>
    <w:rsid w:val="0BA163C4"/>
    <w:rsid w:val="0BBA4C3E"/>
    <w:rsid w:val="0BC527E7"/>
    <w:rsid w:val="0BDE30C9"/>
    <w:rsid w:val="0BE9216B"/>
    <w:rsid w:val="0C04199B"/>
    <w:rsid w:val="0C0B0A79"/>
    <w:rsid w:val="0C182984"/>
    <w:rsid w:val="0C233DDB"/>
    <w:rsid w:val="0C243614"/>
    <w:rsid w:val="0C641CE4"/>
    <w:rsid w:val="0C8E4C85"/>
    <w:rsid w:val="0C9A21C7"/>
    <w:rsid w:val="0CBA3E26"/>
    <w:rsid w:val="0CC86926"/>
    <w:rsid w:val="0CCA2E65"/>
    <w:rsid w:val="0CD87B6A"/>
    <w:rsid w:val="0CE70F5A"/>
    <w:rsid w:val="0CED70FB"/>
    <w:rsid w:val="0CF04B26"/>
    <w:rsid w:val="0D274B82"/>
    <w:rsid w:val="0D6718A8"/>
    <w:rsid w:val="0D8A5C4C"/>
    <w:rsid w:val="0D9D3B84"/>
    <w:rsid w:val="0DA826B2"/>
    <w:rsid w:val="0DC46801"/>
    <w:rsid w:val="0DD03A03"/>
    <w:rsid w:val="0DDA5E66"/>
    <w:rsid w:val="0DE80CCD"/>
    <w:rsid w:val="0DE92A73"/>
    <w:rsid w:val="0DFC6FB1"/>
    <w:rsid w:val="0E1B6666"/>
    <w:rsid w:val="0E342F61"/>
    <w:rsid w:val="0E546450"/>
    <w:rsid w:val="0E6A657A"/>
    <w:rsid w:val="0E8756CE"/>
    <w:rsid w:val="0E875907"/>
    <w:rsid w:val="0E9E306F"/>
    <w:rsid w:val="0EBE485B"/>
    <w:rsid w:val="0ECE319D"/>
    <w:rsid w:val="0EE11FA9"/>
    <w:rsid w:val="0EEE11BD"/>
    <w:rsid w:val="0EF36676"/>
    <w:rsid w:val="0EFF2521"/>
    <w:rsid w:val="0F0E45C0"/>
    <w:rsid w:val="0F121040"/>
    <w:rsid w:val="0F210C17"/>
    <w:rsid w:val="0F244800"/>
    <w:rsid w:val="0F343655"/>
    <w:rsid w:val="0F644218"/>
    <w:rsid w:val="0F7D1FFA"/>
    <w:rsid w:val="0F8E4908"/>
    <w:rsid w:val="0F913335"/>
    <w:rsid w:val="0F96680B"/>
    <w:rsid w:val="0FB60B75"/>
    <w:rsid w:val="0FD96CA9"/>
    <w:rsid w:val="0FDD68DC"/>
    <w:rsid w:val="0FF15BB9"/>
    <w:rsid w:val="0FF906E7"/>
    <w:rsid w:val="0FFD586A"/>
    <w:rsid w:val="10020B62"/>
    <w:rsid w:val="10087FF8"/>
    <w:rsid w:val="10135C77"/>
    <w:rsid w:val="1035011A"/>
    <w:rsid w:val="103607AE"/>
    <w:rsid w:val="10384280"/>
    <w:rsid w:val="105D7F23"/>
    <w:rsid w:val="106506A9"/>
    <w:rsid w:val="108E0879"/>
    <w:rsid w:val="10A7382A"/>
    <w:rsid w:val="10C359D9"/>
    <w:rsid w:val="11011524"/>
    <w:rsid w:val="110877A1"/>
    <w:rsid w:val="110D72EA"/>
    <w:rsid w:val="110E7959"/>
    <w:rsid w:val="1119722C"/>
    <w:rsid w:val="1127264D"/>
    <w:rsid w:val="11434434"/>
    <w:rsid w:val="114A05F1"/>
    <w:rsid w:val="115C58D6"/>
    <w:rsid w:val="11604BE2"/>
    <w:rsid w:val="11722043"/>
    <w:rsid w:val="11812847"/>
    <w:rsid w:val="118F4329"/>
    <w:rsid w:val="119F6D5C"/>
    <w:rsid w:val="11A0225A"/>
    <w:rsid w:val="11A922D8"/>
    <w:rsid w:val="11D45AE1"/>
    <w:rsid w:val="11EA2125"/>
    <w:rsid w:val="12023099"/>
    <w:rsid w:val="122012FA"/>
    <w:rsid w:val="12373AAE"/>
    <w:rsid w:val="123D7233"/>
    <w:rsid w:val="124421AC"/>
    <w:rsid w:val="124D011C"/>
    <w:rsid w:val="125B107A"/>
    <w:rsid w:val="12753E07"/>
    <w:rsid w:val="127B28B7"/>
    <w:rsid w:val="129245E5"/>
    <w:rsid w:val="12C10D7D"/>
    <w:rsid w:val="12CE1204"/>
    <w:rsid w:val="12F06EE1"/>
    <w:rsid w:val="12F32533"/>
    <w:rsid w:val="12F34854"/>
    <w:rsid w:val="13153AEF"/>
    <w:rsid w:val="134F7B0B"/>
    <w:rsid w:val="13683A5C"/>
    <w:rsid w:val="137C5217"/>
    <w:rsid w:val="13917553"/>
    <w:rsid w:val="13B07F3E"/>
    <w:rsid w:val="13B26405"/>
    <w:rsid w:val="13BF5ED3"/>
    <w:rsid w:val="13FD1C15"/>
    <w:rsid w:val="14083C98"/>
    <w:rsid w:val="140876D8"/>
    <w:rsid w:val="141845E0"/>
    <w:rsid w:val="141C18EA"/>
    <w:rsid w:val="141F1808"/>
    <w:rsid w:val="142B02F1"/>
    <w:rsid w:val="142E08FB"/>
    <w:rsid w:val="142F47CB"/>
    <w:rsid w:val="142F7B6B"/>
    <w:rsid w:val="1441758D"/>
    <w:rsid w:val="145B1FDF"/>
    <w:rsid w:val="145E7A95"/>
    <w:rsid w:val="146575A3"/>
    <w:rsid w:val="148B15E0"/>
    <w:rsid w:val="14D20D9B"/>
    <w:rsid w:val="15006FBE"/>
    <w:rsid w:val="151F6B5A"/>
    <w:rsid w:val="15212130"/>
    <w:rsid w:val="156542CB"/>
    <w:rsid w:val="158014E9"/>
    <w:rsid w:val="158A5B50"/>
    <w:rsid w:val="159F23B3"/>
    <w:rsid w:val="15A2498C"/>
    <w:rsid w:val="15A41290"/>
    <w:rsid w:val="15B66B91"/>
    <w:rsid w:val="15C3420A"/>
    <w:rsid w:val="15E47F68"/>
    <w:rsid w:val="15FF6EEC"/>
    <w:rsid w:val="16041E01"/>
    <w:rsid w:val="16232CF9"/>
    <w:rsid w:val="16262029"/>
    <w:rsid w:val="16397749"/>
    <w:rsid w:val="164026BE"/>
    <w:rsid w:val="16406CEA"/>
    <w:rsid w:val="1650457C"/>
    <w:rsid w:val="16562259"/>
    <w:rsid w:val="165B3324"/>
    <w:rsid w:val="16764951"/>
    <w:rsid w:val="167A273E"/>
    <w:rsid w:val="16A61F0D"/>
    <w:rsid w:val="16AC5F02"/>
    <w:rsid w:val="16B27F4D"/>
    <w:rsid w:val="16C77FE5"/>
    <w:rsid w:val="16F47E57"/>
    <w:rsid w:val="16F53AB0"/>
    <w:rsid w:val="17220FF1"/>
    <w:rsid w:val="17320F2E"/>
    <w:rsid w:val="17613E3F"/>
    <w:rsid w:val="17664D13"/>
    <w:rsid w:val="1766777C"/>
    <w:rsid w:val="17676E2A"/>
    <w:rsid w:val="176D41EE"/>
    <w:rsid w:val="1780422F"/>
    <w:rsid w:val="17A75F25"/>
    <w:rsid w:val="17AA5C9C"/>
    <w:rsid w:val="17BD6AB4"/>
    <w:rsid w:val="17C023C9"/>
    <w:rsid w:val="17EF5DD9"/>
    <w:rsid w:val="17F77922"/>
    <w:rsid w:val="18055C5F"/>
    <w:rsid w:val="1818083E"/>
    <w:rsid w:val="184253B9"/>
    <w:rsid w:val="18434C37"/>
    <w:rsid w:val="186202E0"/>
    <w:rsid w:val="18655B8E"/>
    <w:rsid w:val="186E43F1"/>
    <w:rsid w:val="188153D5"/>
    <w:rsid w:val="18875C71"/>
    <w:rsid w:val="18B80BCE"/>
    <w:rsid w:val="18C06461"/>
    <w:rsid w:val="18C66922"/>
    <w:rsid w:val="18D15598"/>
    <w:rsid w:val="18DC5CEB"/>
    <w:rsid w:val="18E62FBE"/>
    <w:rsid w:val="18EE7258"/>
    <w:rsid w:val="19000F5A"/>
    <w:rsid w:val="190C7DED"/>
    <w:rsid w:val="19270D53"/>
    <w:rsid w:val="193337BA"/>
    <w:rsid w:val="19402796"/>
    <w:rsid w:val="19407B9F"/>
    <w:rsid w:val="195254FA"/>
    <w:rsid w:val="195919BF"/>
    <w:rsid w:val="19677C6A"/>
    <w:rsid w:val="19733859"/>
    <w:rsid w:val="198A4DC2"/>
    <w:rsid w:val="199750ED"/>
    <w:rsid w:val="19A57045"/>
    <w:rsid w:val="19AC0EF2"/>
    <w:rsid w:val="19B57275"/>
    <w:rsid w:val="19BE3E90"/>
    <w:rsid w:val="19C11AC9"/>
    <w:rsid w:val="19C37E45"/>
    <w:rsid w:val="19CF40F7"/>
    <w:rsid w:val="19ED0EB9"/>
    <w:rsid w:val="19F21F24"/>
    <w:rsid w:val="1A00617E"/>
    <w:rsid w:val="1A1C2BAB"/>
    <w:rsid w:val="1A1F124B"/>
    <w:rsid w:val="1A210F06"/>
    <w:rsid w:val="1A251079"/>
    <w:rsid w:val="1A28484F"/>
    <w:rsid w:val="1A3573C0"/>
    <w:rsid w:val="1A58762F"/>
    <w:rsid w:val="1A6D533B"/>
    <w:rsid w:val="1A712F48"/>
    <w:rsid w:val="1A9D156F"/>
    <w:rsid w:val="1AA80D9B"/>
    <w:rsid w:val="1AA847EC"/>
    <w:rsid w:val="1AAD0BB3"/>
    <w:rsid w:val="1AD01EB8"/>
    <w:rsid w:val="1AD03E52"/>
    <w:rsid w:val="1AD875EC"/>
    <w:rsid w:val="1AE26A3D"/>
    <w:rsid w:val="1AF475AD"/>
    <w:rsid w:val="1AF92EDF"/>
    <w:rsid w:val="1AFD70F0"/>
    <w:rsid w:val="1B0270FF"/>
    <w:rsid w:val="1B181DD9"/>
    <w:rsid w:val="1B2F477F"/>
    <w:rsid w:val="1B4604AB"/>
    <w:rsid w:val="1B68276D"/>
    <w:rsid w:val="1B6C3B7D"/>
    <w:rsid w:val="1B7F0ABE"/>
    <w:rsid w:val="1B834589"/>
    <w:rsid w:val="1B9C71DA"/>
    <w:rsid w:val="1BA75872"/>
    <w:rsid w:val="1BAB396E"/>
    <w:rsid w:val="1BB07C7C"/>
    <w:rsid w:val="1BBB692B"/>
    <w:rsid w:val="1BBF0E19"/>
    <w:rsid w:val="1BCD692F"/>
    <w:rsid w:val="1BE23EBD"/>
    <w:rsid w:val="1BFB1528"/>
    <w:rsid w:val="1BFE2888"/>
    <w:rsid w:val="1C2E6201"/>
    <w:rsid w:val="1C302928"/>
    <w:rsid w:val="1C52178E"/>
    <w:rsid w:val="1C68632B"/>
    <w:rsid w:val="1C9F1651"/>
    <w:rsid w:val="1CA6090C"/>
    <w:rsid w:val="1CEB46F7"/>
    <w:rsid w:val="1D23735C"/>
    <w:rsid w:val="1D54071F"/>
    <w:rsid w:val="1D6451C6"/>
    <w:rsid w:val="1D654C9F"/>
    <w:rsid w:val="1D69417C"/>
    <w:rsid w:val="1D807289"/>
    <w:rsid w:val="1D8E233B"/>
    <w:rsid w:val="1D92552F"/>
    <w:rsid w:val="1D975DF7"/>
    <w:rsid w:val="1D9B123D"/>
    <w:rsid w:val="1D9E12E8"/>
    <w:rsid w:val="1DCB4927"/>
    <w:rsid w:val="1DD6405C"/>
    <w:rsid w:val="1DDD3571"/>
    <w:rsid w:val="1E190463"/>
    <w:rsid w:val="1E24668A"/>
    <w:rsid w:val="1E2A27A6"/>
    <w:rsid w:val="1E4B2FD7"/>
    <w:rsid w:val="1E645EBF"/>
    <w:rsid w:val="1E6D28B4"/>
    <w:rsid w:val="1E7911C9"/>
    <w:rsid w:val="1E7B335B"/>
    <w:rsid w:val="1E8D194D"/>
    <w:rsid w:val="1EA50F33"/>
    <w:rsid w:val="1ED503FA"/>
    <w:rsid w:val="1EE724BA"/>
    <w:rsid w:val="1EFF6434"/>
    <w:rsid w:val="1F311F17"/>
    <w:rsid w:val="1F3A0011"/>
    <w:rsid w:val="1F3A5F92"/>
    <w:rsid w:val="1F5607E6"/>
    <w:rsid w:val="1F701095"/>
    <w:rsid w:val="1F923DE6"/>
    <w:rsid w:val="1FA42D75"/>
    <w:rsid w:val="1FA610B9"/>
    <w:rsid w:val="1FD024AA"/>
    <w:rsid w:val="1FDC54C4"/>
    <w:rsid w:val="1FEE4C5C"/>
    <w:rsid w:val="1FF012A4"/>
    <w:rsid w:val="1FF23EC9"/>
    <w:rsid w:val="20040834"/>
    <w:rsid w:val="20190666"/>
    <w:rsid w:val="202C1885"/>
    <w:rsid w:val="203B574B"/>
    <w:rsid w:val="204A7C68"/>
    <w:rsid w:val="2053493C"/>
    <w:rsid w:val="205B6A7D"/>
    <w:rsid w:val="205E4038"/>
    <w:rsid w:val="2075093F"/>
    <w:rsid w:val="20786BA2"/>
    <w:rsid w:val="207F447D"/>
    <w:rsid w:val="20884263"/>
    <w:rsid w:val="209D6390"/>
    <w:rsid w:val="20A160B2"/>
    <w:rsid w:val="20D105CB"/>
    <w:rsid w:val="20D16460"/>
    <w:rsid w:val="20DD7F39"/>
    <w:rsid w:val="20E24774"/>
    <w:rsid w:val="20F25221"/>
    <w:rsid w:val="21145BE0"/>
    <w:rsid w:val="21440678"/>
    <w:rsid w:val="216365D8"/>
    <w:rsid w:val="2165140C"/>
    <w:rsid w:val="21691F88"/>
    <w:rsid w:val="2187182E"/>
    <w:rsid w:val="218A070F"/>
    <w:rsid w:val="21957939"/>
    <w:rsid w:val="21C1624C"/>
    <w:rsid w:val="21E26EA0"/>
    <w:rsid w:val="21F34D45"/>
    <w:rsid w:val="21F950CF"/>
    <w:rsid w:val="22045432"/>
    <w:rsid w:val="222A3C9E"/>
    <w:rsid w:val="22396FF8"/>
    <w:rsid w:val="22431035"/>
    <w:rsid w:val="225C0846"/>
    <w:rsid w:val="22B0252A"/>
    <w:rsid w:val="22D75BB2"/>
    <w:rsid w:val="22E819D8"/>
    <w:rsid w:val="22F57E73"/>
    <w:rsid w:val="231523F7"/>
    <w:rsid w:val="234B605E"/>
    <w:rsid w:val="235133E3"/>
    <w:rsid w:val="23560A29"/>
    <w:rsid w:val="235F59AB"/>
    <w:rsid w:val="238A4219"/>
    <w:rsid w:val="239051E5"/>
    <w:rsid w:val="23924A0F"/>
    <w:rsid w:val="23987B60"/>
    <w:rsid w:val="239D13E8"/>
    <w:rsid w:val="239F6D5D"/>
    <w:rsid w:val="239F7F68"/>
    <w:rsid w:val="23ED0F94"/>
    <w:rsid w:val="23FC3011"/>
    <w:rsid w:val="240D18BD"/>
    <w:rsid w:val="244D2E57"/>
    <w:rsid w:val="246E404E"/>
    <w:rsid w:val="247F538E"/>
    <w:rsid w:val="248114CC"/>
    <w:rsid w:val="24A3249E"/>
    <w:rsid w:val="24A62D02"/>
    <w:rsid w:val="24AF069B"/>
    <w:rsid w:val="24AF1929"/>
    <w:rsid w:val="24B63D40"/>
    <w:rsid w:val="24C674E1"/>
    <w:rsid w:val="24C8317D"/>
    <w:rsid w:val="24FA0B67"/>
    <w:rsid w:val="25082A0B"/>
    <w:rsid w:val="252A182D"/>
    <w:rsid w:val="25417958"/>
    <w:rsid w:val="254369E7"/>
    <w:rsid w:val="25494E1D"/>
    <w:rsid w:val="2566023B"/>
    <w:rsid w:val="257A74F9"/>
    <w:rsid w:val="25895A3D"/>
    <w:rsid w:val="258D735D"/>
    <w:rsid w:val="259A68BC"/>
    <w:rsid w:val="25D1716B"/>
    <w:rsid w:val="25DF6A97"/>
    <w:rsid w:val="25E6024A"/>
    <w:rsid w:val="25EA0F86"/>
    <w:rsid w:val="26212585"/>
    <w:rsid w:val="26282ED7"/>
    <w:rsid w:val="263B1449"/>
    <w:rsid w:val="265B6DE8"/>
    <w:rsid w:val="265F04C1"/>
    <w:rsid w:val="2660228B"/>
    <w:rsid w:val="267440C5"/>
    <w:rsid w:val="268C256C"/>
    <w:rsid w:val="269F48BD"/>
    <w:rsid w:val="26A7223A"/>
    <w:rsid w:val="26F23979"/>
    <w:rsid w:val="272A1178"/>
    <w:rsid w:val="272D26C8"/>
    <w:rsid w:val="274604BA"/>
    <w:rsid w:val="27530B85"/>
    <w:rsid w:val="27537ACC"/>
    <w:rsid w:val="276C2A3C"/>
    <w:rsid w:val="27743788"/>
    <w:rsid w:val="277B261F"/>
    <w:rsid w:val="27962ACA"/>
    <w:rsid w:val="279B5A93"/>
    <w:rsid w:val="27A35CC1"/>
    <w:rsid w:val="27E71C93"/>
    <w:rsid w:val="27E916BA"/>
    <w:rsid w:val="27F10483"/>
    <w:rsid w:val="27FD55EF"/>
    <w:rsid w:val="28022D32"/>
    <w:rsid w:val="28153567"/>
    <w:rsid w:val="28594A6E"/>
    <w:rsid w:val="286B5520"/>
    <w:rsid w:val="287D3F8A"/>
    <w:rsid w:val="28870747"/>
    <w:rsid w:val="288E5631"/>
    <w:rsid w:val="28C32DF1"/>
    <w:rsid w:val="28C534E8"/>
    <w:rsid w:val="28D02103"/>
    <w:rsid w:val="29095837"/>
    <w:rsid w:val="293734A8"/>
    <w:rsid w:val="294E0AA4"/>
    <w:rsid w:val="296735A6"/>
    <w:rsid w:val="296D7E15"/>
    <w:rsid w:val="299171CC"/>
    <w:rsid w:val="29962D19"/>
    <w:rsid w:val="29AD3BB2"/>
    <w:rsid w:val="29B4309C"/>
    <w:rsid w:val="29C30BAC"/>
    <w:rsid w:val="29CD7458"/>
    <w:rsid w:val="29D9048F"/>
    <w:rsid w:val="29EF70CC"/>
    <w:rsid w:val="2A0A0002"/>
    <w:rsid w:val="2A1C62F4"/>
    <w:rsid w:val="2A3D1958"/>
    <w:rsid w:val="2A5F0A9A"/>
    <w:rsid w:val="2A802A87"/>
    <w:rsid w:val="2A931BB9"/>
    <w:rsid w:val="2A9D346A"/>
    <w:rsid w:val="2AB51A38"/>
    <w:rsid w:val="2AB903D8"/>
    <w:rsid w:val="2ACD6CCC"/>
    <w:rsid w:val="2ADF720A"/>
    <w:rsid w:val="2AEE4512"/>
    <w:rsid w:val="2AFC30F1"/>
    <w:rsid w:val="2B341240"/>
    <w:rsid w:val="2B34584A"/>
    <w:rsid w:val="2B3D6ED6"/>
    <w:rsid w:val="2B64015F"/>
    <w:rsid w:val="2B644948"/>
    <w:rsid w:val="2B7C6921"/>
    <w:rsid w:val="2B9C4F86"/>
    <w:rsid w:val="2BFE1EDB"/>
    <w:rsid w:val="2C127758"/>
    <w:rsid w:val="2C1A4265"/>
    <w:rsid w:val="2C1F32E8"/>
    <w:rsid w:val="2C2326B1"/>
    <w:rsid w:val="2C26626A"/>
    <w:rsid w:val="2C275841"/>
    <w:rsid w:val="2C3E2651"/>
    <w:rsid w:val="2C4630F8"/>
    <w:rsid w:val="2C636708"/>
    <w:rsid w:val="2C68059F"/>
    <w:rsid w:val="2C6917E7"/>
    <w:rsid w:val="2C756800"/>
    <w:rsid w:val="2CA3554E"/>
    <w:rsid w:val="2CBC0FFA"/>
    <w:rsid w:val="2CC23437"/>
    <w:rsid w:val="2CC27AB8"/>
    <w:rsid w:val="2CC379B0"/>
    <w:rsid w:val="2CEF3C54"/>
    <w:rsid w:val="2CF23870"/>
    <w:rsid w:val="2D006219"/>
    <w:rsid w:val="2D05566F"/>
    <w:rsid w:val="2D11170D"/>
    <w:rsid w:val="2D13298D"/>
    <w:rsid w:val="2D221D5D"/>
    <w:rsid w:val="2D2A0414"/>
    <w:rsid w:val="2D383726"/>
    <w:rsid w:val="2D386439"/>
    <w:rsid w:val="2D7B766B"/>
    <w:rsid w:val="2D9379FB"/>
    <w:rsid w:val="2D9E7CAE"/>
    <w:rsid w:val="2DBA7FBA"/>
    <w:rsid w:val="2DBE1024"/>
    <w:rsid w:val="2DC6390A"/>
    <w:rsid w:val="2DE16ECB"/>
    <w:rsid w:val="2DE2223D"/>
    <w:rsid w:val="2DE40DD4"/>
    <w:rsid w:val="2E0F2EDB"/>
    <w:rsid w:val="2E145E1D"/>
    <w:rsid w:val="2E18318C"/>
    <w:rsid w:val="2E223E47"/>
    <w:rsid w:val="2E270A97"/>
    <w:rsid w:val="2E3F4045"/>
    <w:rsid w:val="2E406C0B"/>
    <w:rsid w:val="2E4430FB"/>
    <w:rsid w:val="2E4A213E"/>
    <w:rsid w:val="2E6A7B7E"/>
    <w:rsid w:val="2E852BFA"/>
    <w:rsid w:val="2EB72D84"/>
    <w:rsid w:val="2EE011A4"/>
    <w:rsid w:val="2EE359E2"/>
    <w:rsid w:val="2EEC1574"/>
    <w:rsid w:val="2F1B43C7"/>
    <w:rsid w:val="2F5604CA"/>
    <w:rsid w:val="2F592F8F"/>
    <w:rsid w:val="2F5942DE"/>
    <w:rsid w:val="2FA36E63"/>
    <w:rsid w:val="2FC33170"/>
    <w:rsid w:val="2FD2281B"/>
    <w:rsid w:val="2FD352CF"/>
    <w:rsid w:val="2FD66838"/>
    <w:rsid w:val="2FDB72F7"/>
    <w:rsid w:val="300E7DD2"/>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A5F5C"/>
    <w:rsid w:val="30FB65D1"/>
    <w:rsid w:val="30FC5A3F"/>
    <w:rsid w:val="31052214"/>
    <w:rsid w:val="3136571E"/>
    <w:rsid w:val="31644472"/>
    <w:rsid w:val="31645690"/>
    <w:rsid w:val="316D5BBF"/>
    <w:rsid w:val="3170139F"/>
    <w:rsid w:val="317213BC"/>
    <w:rsid w:val="317D02F3"/>
    <w:rsid w:val="319567AC"/>
    <w:rsid w:val="31AC3F23"/>
    <w:rsid w:val="31D94323"/>
    <w:rsid w:val="31F43EF2"/>
    <w:rsid w:val="320F656E"/>
    <w:rsid w:val="321012BD"/>
    <w:rsid w:val="3229313A"/>
    <w:rsid w:val="322A09EC"/>
    <w:rsid w:val="322E6D47"/>
    <w:rsid w:val="32343227"/>
    <w:rsid w:val="324748F5"/>
    <w:rsid w:val="327945B0"/>
    <w:rsid w:val="32AD5AEA"/>
    <w:rsid w:val="32C3640C"/>
    <w:rsid w:val="32C47E69"/>
    <w:rsid w:val="32DF4B9C"/>
    <w:rsid w:val="32EE5E66"/>
    <w:rsid w:val="32F707FF"/>
    <w:rsid w:val="32FE7982"/>
    <w:rsid w:val="330D52B8"/>
    <w:rsid w:val="331E1C54"/>
    <w:rsid w:val="335A2666"/>
    <w:rsid w:val="33666803"/>
    <w:rsid w:val="33871402"/>
    <w:rsid w:val="338A0060"/>
    <w:rsid w:val="338C018A"/>
    <w:rsid w:val="338C598B"/>
    <w:rsid w:val="33901C94"/>
    <w:rsid w:val="33A045C6"/>
    <w:rsid w:val="33A655BD"/>
    <w:rsid w:val="33AF50D7"/>
    <w:rsid w:val="33C2279E"/>
    <w:rsid w:val="33E6404A"/>
    <w:rsid w:val="34052E84"/>
    <w:rsid w:val="34195765"/>
    <w:rsid w:val="3435099A"/>
    <w:rsid w:val="343B5578"/>
    <w:rsid w:val="34510B5E"/>
    <w:rsid w:val="3465056A"/>
    <w:rsid w:val="346866A1"/>
    <w:rsid w:val="34700522"/>
    <w:rsid w:val="348167F0"/>
    <w:rsid w:val="34921598"/>
    <w:rsid w:val="349A1C0D"/>
    <w:rsid w:val="34A75868"/>
    <w:rsid w:val="34A83FD4"/>
    <w:rsid w:val="34C804C4"/>
    <w:rsid w:val="34E261D0"/>
    <w:rsid w:val="34E3740B"/>
    <w:rsid w:val="350D2053"/>
    <w:rsid w:val="350D51A0"/>
    <w:rsid w:val="35286BF7"/>
    <w:rsid w:val="35522321"/>
    <w:rsid w:val="355D53D4"/>
    <w:rsid w:val="35753453"/>
    <w:rsid w:val="3599429E"/>
    <w:rsid w:val="35A73257"/>
    <w:rsid w:val="35B12F84"/>
    <w:rsid w:val="35B57875"/>
    <w:rsid w:val="36033A12"/>
    <w:rsid w:val="362F0086"/>
    <w:rsid w:val="363D403E"/>
    <w:rsid w:val="366D3CBC"/>
    <w:rsid w:val="36750E50"/>
    <w:rsid w:val="36776EAA"/>
    <w:rsid w:val="367C01BA"/>
    <w:rsid w:val="36B77EB7"/>
    <w:rsid w:val="36DE7BD3"/>
    <w:rsid w:val="37592FE4"/>
    <w:rsid w:val="375E20CF"/>
    <w:rsid w:val="377336AC"/>
    <w:rsid w:val="377F502A"/>
    <w:rsid w:val="37804449"/>
    <w:rsid w:val="378A028C"/>
    <w:rsid w:val="37BC42C1"/>
    <w:rsid w:val="37C51AE9"/>
    <w:rsid w:val="37CA1388"/>
    <w:rsid w:val="37CC6ED3"/>
    <w:rsid w:val="37F94643"/>
    <w:rsid w:val="37FB24F6"/>
    <w:rsid w:val="3806724C"/>
    <w:rsid w:val="38292EF5"/>
    <w:rsid w:val="38305180"/>
    <w:rsid w:val="383B2625"/>
    <w:rsid w:val="3850158A"/>
    <w:rsid w:val="385C1B7F"/>
    <w:rsid w:val="38610D05"/>
    <w:rsid w:val="388F49F5"/>
    <w:rsid w:val="38A751FA"/>
    <w:rsid w:val="38AB3C78"/>
    <w:rsid w:val="38BD6057"/>
    <w:rsid w:val="38FA192C"/>
    <w:rsid w:val="38FB4BD9"/>
    <w:rsid w:val="39076C11"/>
    <w:rsid w:val="391F2580"/>
    <w:rsid w:val="39221703"/>
    <w:rsid w:val="39283EEC"/>
    <w:rsid w:val="392D67AC"/>
    <w:rsid w:val="3930488C"/>
    <w:rsid w:val="39401394"/>
    <w:rsid w:val="3968060E"/>
    <w:rsid w:val="398473E8"/>
    <w:rsid w:val="39A644DA"/>
    <w:rsid w:val="39C531C8"/>
    <w:rsid w:val="39E23259"/>
    <w:rsid w:val="39EA289E"/>
    <w:rsid w:val="3A0B2C87"/>
    <w:rsid w:val="3A0E4E62"/>
    <w:rsid w:val="3A0F0F43"/>
    <w:rsid w:val="3A2140D2"/>
    <w:rsid w:val="3A380799"/>
    <w:rsid w:val="3A476B5E"/>
    <w:rsid w:val="3A4B0E8F"/>
    <w:rsid w:val="3A555FAD"/>
    <w:rsid w:val="3A711825"/>
    <w:rsid w:val="3A7B1CBC"/>
    <w:rsid w:val="3A931991"/>
    <w:rsid w:val="3AA82CF8"/>
    <w:rsid w:val="3AAC5B36"/>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96874"/>
    <w:rsid w:val="3B9D4373"/>
    <w:rsid w:val="3BA92EC6"/>
    <w:rsid w:val="3BB663C6"/>
    <w:rsid w:val="3BB94D10"/>
    <w:rsid w:val="3BDE416C"/>
    <w:rsid w:val="3BE70BEC"/>
    <w:rsid w:val="3C0435A9"/>
    <w:rsid w:val="3C3158BF"/>
    <w:rsid w:val="3C512C6A"/>
    <w:rsid w:val="3C5E6096"/>
    <w:rsid w:val="3C6B63F3"/>
    <w:rsid w:val="3C6D0AA3"/>
    <w:rsid w:val="3C7D446D"/>
    <w:rsid w:val="3C8449D4"/>
    <w:rsid w:val="3C8805E4"/>
    <w:rsid w:val="3C903856"/>
    <w:rsid w:val="3CB05E10"/>
    <w:rsid w:val="3CBF3D07"/>
    <w:rsid w:val="3CE90D4D"/>
    <w:rsid w:val="3CEC5BD9"/>
    <w:rsid w:val="3D0824E7"/>
    <w:rsid w:val="3D0A2A8A"/>
    <w:rsid w:val="3D0D553D"/>
    <w:rsid w:val="3D12272E"/>
    <w:rsid w:val="3D321FA1"/>
    <w:rsid w:val="3D4A6E2B"/>
    <w:rsid w:val="3D5C306C"/>
    <w:rsid w:val="3D6A3EE4"/>
    <w:rsid w:val="3D6E15B5"/>
    <w:rsid w:val="3D8762BD"/>
    <w:rsid w:val="3D941FD0"/>
    <w:rsid w:val="3DA75BB4"/>
    <w:rsid w:val="3DB73788"/>
    <w:rsid w:val="3DBE7888"/>
    <w:rsid w:val="3DBF012C"/>
    <w:rsid w:val="3DC72FAC"/>
    <w:rsid w:val="3DD4640D"/>
    <w:rsid w:val="3DF15BE8"/>
    <w:rsid w:val="3E00648E"/>
    <w:rsid w:val="3E097ED6"/>
    <w:rsid w:val="3E0F619F"/>
    <w:rsid w:val="3E2C07D2"/>
    <w:rsid w:val="3E4B1EC4"/>
    <w:rsid w:val="3E4C5C7B"/>
    <w:rsid w:val="3E4F06BE"/>
    <w:rsid w:val="3E60232E"/>
    <w:rsid w:val="3E6966CC"/>
    <w:rsid w:val="3E6F6349"/>
    <w:rsid w:val="3E7001DF"/>
    <w:rsid w:val="3E815E9D"/>
    <w:rsid w:val="3E8F04CD"/>
    <w:rsid w:val="3EA37326"/>
    <w:rsid w:val="3EA4334C"/>
    <w:rsid w:val="3EC21710"/>
    <w:rsid w:val="3ED07B39"/>
    <w:rsid w:val="3EEE4BA8"/>
    <w:rsid w:val="3F227ECC"/>
    <w:rsid w:val="3F2A1510"/>
    <w:rsid w:val="3F323523"/>
    <w:rsid w:val="3F59407A"/>
    <w:rsid w:val="3F963935"/>
    <w:rsid w:val="3FBD7ADB"/>
    <w:rsid w:val="3FCC1F36"/>
    <w:rsid w:val="3FED10C4"/>
    <w:rsid w:val="3FFD69BE"/>
    <w:rsid w:val="40115E5D"/>
    <w:rsid w:val="40142B28"/>
    <w:rsid w:val="401C3BB3"/>
    <w:rsid w:val="402551CC"/>
    <w:rsid w:val="404C0EDB"/>
    <w:rsid w:val="405A7340"/>
    <w:rsid w:val="406563D6"/>
    <w:rsid w:val="406B7B27"/>
    <w:rsid w:val="40A1164F"/>
    <w:rsid w:val="40AD7C5B"/>
    <w:rsid w:val="40CD5F0B"/>
    <w:rsid w:val="40DD4729"/>
    <w:rsid w:val="40E06975"/>
    <w:rsid w:val="40EB7E0B"/>
    <w:rsid w:val="40F1349D"/>
    <w:rsid w:val="411E2BE4"/>
    <w:rsid w:val="413A144A"/>
    <w:rsid w:val="41694287"/>
    <w:rsid w:val="416948A9"/>
    <w:rsid w:val="416B194D"/>
    <w:rsid w:val="417E1241"/>
    <w:rsid w:val="41BE3E52"/>
    <w:rsid w:val="41C36A02"/>
    <w:rsid w:val="41D8445C"/>
    <w:rsid w:val="41F85D27"/>
    <w:rsid w:val="420E2A1A"/>
    <w:rsid w:val="4237497C"/>
    <w:rsid w:val="424D68DB"/>
    <w:rsid w:val="42565FD0"/>
    <w:rsid w:val="42596CCD"/>
    <w:rsid w:val="425E5FDE"/>
    <w:rsid w:val="42686E79"/>
    <w:rsid w:val="427F350F"/>
    <w:rsid w:val="42914340"/>
    <w:rsid w:val="42AF1A12"/>
    <w:rsid w:val="42B008AC"/>
    <w:rsid w:val="42CE23F5"/>
    <w:rsid w:val="42D63463"/>
    <w:rsid w:val="43127FA0"/>
    <w:rsid w:val="431D66E9"/>
    <w:rsid w:val="4357457D"/>
    <w:rsid w:val="43587C29"/>
    <w:rsid w:val="435C6176"/>
    <w:rsid w:val="43616901"/>
    <w:rsid w:val="43667A8A"/>
    <w:rsid w:val="436A6992"/>
    <w:rsid w:val="436D4ECF"/>
    <w:rsid w:val="43791B5A"/>
    <w:rsid w:val="437A73AE"/>
    <w:rsid w:val="43806B74"/>
    <w:rsid w:val="43922D90"/>
    <w:rsid w:val="439E00F9"/>
    <w:rsid w:val="43B24CCF"/>
    <w:rsid w:val="43B43752"/>
    <w:rsid w:val="43D14618"/>
    <w:rsid w:val="43E63027"/>
    <w:rsid w:val="43F669C3"/>
    <w:rsid w:val="44205D19"/>
    <w:rsid w:val="442C10DA"/>
    <w:rsid w:val="44314B0E"/>
    <w:rsid w:val="44530CF2"/>
    <w:rsid w:val="445706DF"/>
    <w:rsid w:val="446B48FC"/>
    <w:rsid w:val="44785AEE"/>
    <w:rsid w:val="44843CC9"/>
    <w:rsid w:val="44880967"/>
    <w:rsid w:val="44B673AA"/>
    <w:rsid w:val="44D26E80"/>
    <w:rsid w:val="44DB773A"/>
    <w:rsid w:val="44F14784"/>
    <w:rsid w:val="450039C1"/>
    <w:rsid w:val="451A32B1"/>
    <w:rsid w:val="451E341B"/>
    <w:rsid w:val="452D6C34"/>
    <w:rsid w:val="454D00BA"/>
    <w:rsid w:val="456951DA"/>
    <w:rsid w:val="45973AD6"/>
    <w:rsid w:val="45A52B1C"/>
    <w:rsid w:val="45AC4CF4"/>
    <w:rsid w:val="45AD524F"/>
    <w:rsid w:val="45AE36B8"/>
    <w:rsid w:val="45CF7FBC"/>
    <w:rsid w:val="45F35C5E"/>
    <w:rsid w:val="46400CA9"/>
    <w:rsid w:val="46406C53"/>
    <w:rsid w:val="465A4FCD"/>
    <w:rsid w:val="465B230D"/>
    <w:rsid w:val="4662285A"/>
    <w:rsid w:val="467208A3"/>
    <w:rsid w:val="46810023"/>
    <w:rsid w:val="468354F8"/>
    <w:rsid w:val="46836109"/>
    <w:rsid w:val="468B0189"/>
    <w:rsid w:val="46995FD1"/>
    <w:rsid w:val="46B06667"/>
    <w:rsid w:val="46C35907"/>
    <w:rsid w:val="47032B85"/>
    <w:rsid w:val="47111705"/>
    <w:rsid w:val="4719625B"/>
    <w:rsid w:val="472C0755"/>
    <w:rsid w:val="4745188E"/>
    <w:rsid w:val="476D2EF2"/>
    <w:rsid w:val="476E7A2B"/>
    <w:rsid w:val="477A07F4"/>
    <w:rsid w:val="47B54AA8"/>
    <w:rsid w:val="47BD13B2"/>
    <w:rsid w:val="47BF5406"/>
    <w:rsid w:val="47C073E7"/>
    <w:rsid w:val="47C621A4"/>
    <w:rsid w:val="47DE197A"/>
    <w:rsid w:val="47F04F1C"/>
    <w:rsid w:val="47F261EE"/>
    <w:rsid w:val="4801327C"/>
    <w:rsid w:val="48713429"/>
    <w:rsid w:val="487B3B0A"/>
    <w:rsid w:val="487F761D"/>
    <w:rsid w:val="4891605D"/>
    <w:rsid w:val="48D173C6"/>
    <w:rsid w:val="48E02F78"/>
    <w:rsid w:val="48E76F84"/>
    <w:rsid w:val="48F00546"/>
    <w:rsid w:val="4906501C"/>
    <w:rsid w:val="49132398"/>
    <w:rsid w:val="491B5B23"/>
    <w:rsid w:val="493B491E"/>
    <w:rsid w:val="494305AE"/>
    <w:rsid w:val="49550F29"/>
    <w:rsid w:val="498E5DDA"/>
    <w:rsid w:val="499A319C"/>
    <w:rsid w:val="49A75100"/>
    <w:rsid w:val="49B6483C"/>
    <w:rsid w:val="49B66680"/>
    <w:rsid w:val="49C75CA3"/>
    <w:rsid w:val="49D145CB"/>
    <w:rsid w:val="49E56673"/>
    <w:rsid w:val="4A0F6E1A"/>
    <w:rsid w:val="4A125A83"/>
    <w:rsid w:val="4A171DB0"/>
    <w:rsid w:val="4A2057D8"/>
    <w:rsid w:val="4A284B3F"/>
    <w:rsid w:val="4A5A35C4"/>
    <w:rsid w:val="4A6F2547"/>
    <w:rsid w:val="4A861680"/>
    <w:rsid w:val="4A8764D3"/>
    <w:rsid w:val="4A980B3E"/>
    <w:rsid w:val="4AA14A65"/>
    <w:rsid w:val="4AC77F8B"/>
    <w:rsid w:val="4AD74EF4"/>
    <w:rsid w:val="4AED5C11"/>
    <w:rsid w:val="4AFF253A"/>
    <w:rsid w:val="4B096721"/>
    <w:rsid w:val="4B151DD8"/>
    <w:rsid w:val="4B2F5A69"/>
    <w:rsid w:val="4B600DBB"/>
    <w:rsid w:val="4B740186"/>
    <w:rsid w:val="4B7467CA"/>
    <w:rsid w:val="4B7A2CD7"/>
    <w:rsid w:val="4B8464B3"/>
    <w:rsid w:val="4B96469A"/>
    <w:rsid w:val="4BB96A99"/>
    <w:rsid w:val="4BD47B3A"/>
    <w:rsid w:val="4BE60345"/>
    <w:rsid w:val="4BF61A49"/>
    <w:rsid w:val="4BFD254C"/>
    <w:rsid w:val="4BFD2BB9"/>
    <w:rsid w:val="4C007D9B"/>
    <w:rsid w:val="4C097E52"/>
    <w:rsid w:val="4C251632"/>
    <w:rsid w:val="4C266DAF"/>
    <w:rsid w:val="4C3B2F36"/>
    <w:rsid w:val="4C3C7997"/>
    <w:rsid w:val="4C423D11"/>
    <w:rsid w:val="4C4277B1"/>
    <w:rsid w:val="4C4A7111"/>
    <w:rsid w:val="4C9A635E"/>
    <w:rsid w:val="4CA860AF"/>
    <w:rsid w:val="4CB66E36"/>
    <w:rsid w:val="4CD04687"/>
    <w:rsid w:val="4D09681B"/>
    <w:rsid w:val="4D1A6222"/>
    <w:rsid w:val="4D2B1C5F"/>
    <w:rsid w:val="4D2E64BA"/>
    <w:rsid w:val="4D30066A"/>
    <w:rsid w:val="4D316971"/>
    <w:rsid w:val="4D423028"/>
    <w:rsid w:val="4D581632"/>
    <w:rsid w:val="4D692C32"/>
    <w:rsid w:val="4D6E3CCE"/>
    <w:rsid w:val="4D7901E4"/>
    <w:rsid w:val="4D805757"/>
    <w:rsid w:val="4DCB0227"/>
    <w:rsid w:val="4DCF155E"/>
    <w:rsid w:val="4DD11AEE"/>
    <w:rsid w:val="4DE22B61"/>
    <w:rsid w:val="4E071018"/>
    <w:rsid w:val="4E1E35A8"/>
    <w:rsid w:val="4E4A36DE"/>
    <w:rsid w:val="4E4B1237"/>
    <w:rsid w:val="4E685D9D"/>
    <w:rsid w:val="4E757C8C"/>
    <w:rsid w:val="4E7C3CDE"/>
    <w:rsid w:val="4E997F39"/>
    <w:rsid w:val="4EA45038"/>
    <w:rsid w:val="4EA535EA"/>
    <w:rsid w:val="4EAA452F"/>
    <w:rsid w:val="4EAB7555"/>
    <w:rsid w:val="4EB16F4D"/>
    <w:rsid w:val="4ED37A9C"/>
    <w:rsid w:val="4EDE0A69"/>
    <w:rsid w:val="4EF438A7"/>
    <w:rsid w:val="4EF74679"/>
    <w:rsid w:val="4F053AD4"/>
    <w:rsid w:val="4F10480D"/>
    <w:rsid w:val="4F4F7C97"/>
    <w:rsid w:val="4F586DFE"/>
    <w:rsid w:val="4F7F3425"/>
    <w:rsid w:val="4F890EBD"/>
    <w:rsid w:val="4F951D60"/>
    <w:rsid w:val="4FAB27E4"/>
    <w:rsid w:val="4FAD4336"/>
    <w:rsid w:val="4FEA66FB"/>
    <w:rsid w:val="50000326"/>
    <w:rsid w:val="5012456C"/>
    <w:rsid w:val="501B0160"/>
    <w:rsid w:val="5028413A"/>
    <w:rsid w:val="502E0E02"/>
    <w:rsid w:val="5034185C"/>
    <w:rsid w:val="50662285"/>
    <w:rsid w:val="50935D58"/>
    <w:rsid w:val="509473B7"/>
    <w:rsid w:val="50C33F53"/>
    <w:rsid w:val="50C85002"/>
    <w:rsid w:val="50D3250E"/>
    <w:rsid w:val="50D33AD4"/>
    <w:rsid w:val="50D54B4D"/>
    <w:rsid w:val="50D565E3"/>
    <w:rsid w:val="51251091"/>
    <w:rsid w:val="512B4D4B"/>
    <w:rsid w:val="51351C9B"/>
    <w:rsid w:val="513D3709"/>
    <w:rsid w:val="515323AC"/>
    <w:rsid w:val="515911D2"/>
    <w:rsid w:val="5159308A"/>
    <w:rsid w:val="51636223"/>
    <w:rsid w:val="51665649"/>
    <w:rsid w:val="517462FF"/>
    <w:rsid w:val="51996C1B"/>
    <w:rsid w:val="51A56DF6"/>
    <w:rsid w:val="51AA59AF"/>
    <w:rsid w:val="51AB46BA"/>
    <w:rsid w:val="51C04F90"/>
    <w:rsid w:val="51D254DA"/>
    <w:rsid w:val="51D67559"/>
    <w:rsid w:val="51DF2711"/>
    <w:rsid w:val="51EB7348"/>
    <w:rsid w:val="51F20232"/>
    <w:rsid w:val="52014309"/>
    <w:rsid w:val="520C36C1"/>
    <w:rsid w:val="520E771E"/>
    <w:rsid w:val="52171AFB"/>
    <w:rsid w:val="522D4979"/>
    <w:rsid w:val="523456B6"/>
    <w:rsid w:val="5235465D"/>
    <w:rsid w:val="52367473"/>
    <w:rsid w:val="523A023A"/>
    <w:rsid w:val="523E15D7"/>
    <w:rsid w:val="5244258E"/>
    <w:rsid w:val="5249313E"/>
    <w:rsid w:val="52527419"/>
    <w:rsid w:val="525A4669"/>
    <w:rsid w:val="525B22C4"/>
    <w:rsid w:val="526018C0"/>
    <w:rsid w:val="52781BE7"/>
    <w:rsid w:val="52841F28"/>
    <w:rsid w:val="52AD06F5"/>
    <w:rsid w:val="52BE0F28"/>
    <w:rsid w:val="52D32108"/>
    <w:rsid w:val="52D6356D"/>
    <w:rsid w:val="52F77D67"/>
    <w:rsid w:val="52F836E3"/>
    <w:rsid w:val="532F7394"/>
    <w:rsid w:val="53385FAE"/>
    <w:rsid w:val="534E489F"/>
    <w:rsid w:val="535904C5"/>
    <w:rsid w:val="536E730E"/>
    <w:rsid w:val="537C2BD7"/>
    <w:rsid w:val="538F760C"/>
    <w:rsid w:val="53971E29"/>
    <w:rsid w:val="539D713D"/>
    <w:rsid w:val="53A35F99"/>
    <w:rsid w:val="53C42274"/>
    <w:rsid w:val="53E6334F"/>
    <w:rsid w:val="53FB17FA"/>
    <w:rsid w:val="541862F0"/>
    <w:rsid w:val="546A6559"/>
    <w:rsid w:val="546F0B91"/>
    <w:rsid w:val="54B70A61"/>
    <w:rsid w:val="54B779B5"/>
    <w:rsid w:val="54CE4962"/>
    <w:rsid w:val="54D25371"/>
    <w:rsid w:val="54EA3421"/>
    <w:rsid w:val="54EC1FC6"/>
    <w:rsid w:val="54EC416F"/>
    <w:rsid w:val="550939D7"/>
    <w:rsid w:val="552C68B9"/>
    <w:rsid w:val="55335647"/>
    <w:rsid w:val="5538682D"/>
    <w:rsid w:val="55476094"/>
    <w:rsid w:val="554A06ED"/>
    <w:rsid w:val="5552614F"/>
    <w:rsid w:val="55530973"/>
    <w:rsid w:val="55560E04"/>
    <w:rsid w:val="55666B45"/>
    <w:rsid w:val="55722092"/>
    <w:rsid w:val="5583167D"/>
    <w:rsid w:val="55995FB7"/>
    <w:rsid w:val="55A156DD"/>
    <w:rsid w:val="55B13035"/>
    <w:rsid w:val="55BD15CA"/>
    <w:rsid w:val="55C10548"/>
    <w:rsid w:val="55C244BC"/>
    <w:rsid w:val="55C708F6"/>
    <w:rsid w:val="55E14A9E"/>
    <w:rsid w:val="55E37FE2"/>
    <w:rsid w:val="56015FD4"/>
    <w:rsid w:val="56176CD0"/>
    <w:rsid w:val="56195188"/>
    <w:rsid w:val="561A57E6"/>
    <w:rsid w:val="561C5613"/>
    <w:rsid w:val="562E4782"/>
    <w:rsid w:val="56327C9C"/>
    <w:rsid w:val="5639508E"/>
    <w:rsid w:val="56446C4A"/>
    <w:rsid w:val="56534D2A"/>
    <w:rsid w:val="5659691E"/>
    <w:rsid w:val="56635FA9"/>
    <w:rsid w:val="566B08CE"/>
    <w:rsid w:val="56737273"/>
    <w:rsid w:val="56763DE8"/>
    <w:rsid w:val="56773C48"/>
    <w:rsid w:val="56BB5794"/>
    <w:rsid w:val="56C16A07"/>
    <w:rsid w:val="56C56026"/>
    <w:rsid w:val="56C721C1"/>
    <w:rsid w:val="56C75E65"/>
    <w:rsid w:val="56C93F15"/>
    <w:rsid w:val="56ED49AC"/>
    <w:rsid w:val="56F85BA6"/>
    <w:rsid w:val="57037964"/>
    <w:rsid w:val="570D1D86"/>
    <w:rsid w:val="570E1422"/>
    <w:rsid w:val="573F549A"/>
    <w:rsid w:val="57553D3F"/>
    <w:rsid w:val="57703672"/>
    <w:rsid w:val="5773534B"/>
    <w:rsid w:val="57780B7F"/>
    <w:rsid w:val="57856672"/>
    <w:rsid w:val="578C265D"/>
    <w:rsid w:val="579D25BA"/>
    <w:rsid w:val="57B9331D"/>
    <w:rsid w:val="57B975D7"/>
    <w:rsid w:val="57BB6757"/>
    <w:rsid w:val="57C82DD9"/>
    <w:rsid w:val="57E73B91"/>
    <w:rsid w:val="57F3287F"/>
    <w:rsid w:val="57F45188"/>
    <w:rsid w:val="57F81A83"/>
    <w:rsid w:val="57FA61B1"/>
    <w:rsid w:val="58032997"/>
    <w:rsid w:val="581D6018"/>
    <w:rsid w:val="583F1055"/>
    <w:rsid w:val="58441188"/>
    <w:rsid w:val="58477459"/>
    <w:rsid w:val="58494A10"/>
    <w:rsid w:val="584B2FF5"/>
    <w:rsid w:val="585A018E"/>
    <w:rsid w:val="585B0937"/>
    <w:rsid w:val="585E0241"/>
    <w:rsid w:val="58744829"/>
    <w:rsid w:val="587673AC"/>
    <w:rsid w:val="588562E3"/>
    <w:rsid w:val="588A4D2D"/>
    <w:rsid w:val="5898522B"/>
    <w:rsid w:val="58A045EF"/>
    <w:rsid w:val="58AE0C9D"/>
    <w:rsid w:val="58BD3A38"/>
    <w:rsid w:val="58DC744B"/>
    <w:rsid w:val="58E00FC5"/>
    <w:rsid w:val="58F609E4"/>
    <w:rsid w:val="58FB67BC"/>
    <w:rsid w:val="592D65D1"/>
    <w:rsid w:val="5930657D"/>
    <w:rsid w:val="59327DEB"/>
    <w:rsid w:val="59392E42"/>
    <w:rsid w:val="593B5B55"/>
    <w:rsid w:val="593D19BE"/>
    <w:rsid w:val="59776D39"/>
    <w:rsid w:val="597D137C"/>
    <w:rsid w:val="599D01FE"/>
    <w:rsid w:val="59AF4353"/>
    <w:rsid w:val="59CB134C"/>
    <w:rsid w:val="59D13042"/>
    <w:rsid w:val="59EA652F"/>
    <w:rsid w:val="5A3F6176"/>
    <w:rsid w:val="5A5419CE"/>
    <w:rsid w:val="5A587AE0"/>
    <w:rsid w:val="5A5A38F1"/>
    <w:rsid w:val="5A617BFA"/>
    <w:rsid w:val="5A7629B7"/>
    <w:rsid w:val="5A83298E"/>
    <w:rsid w:val="5A84337E"/>
    <w:rsid w:val="5A891BB6"/>
    <w:rsid w:val="5A8D03AD"/>
    <w:rsid w:val="5AA34E07"/>
    <w:rsid w:val="5AD937F3"/>
    <w:rsid w:val="5ADB5FCA"/>
    <w:rsid w:val="5AE30663"/>
    <w:rsid w:val="5AE36AFC"/>
    <w:rsid w:val="5AE47198"/>
    <w:rsid w:val="5AEF3CA7"/>
    <w:rsid w:val="5AFB0199"/>
    <w:rsid w:val="5B0001EA"/>
    <w:rsid w:val="5B2D4307"/>
    <w:rsid w:val="5B5041D6"/>
    <w:rsid w:val="5B554FD4"/>
    <w:rsid w:val="5B6B25D0"/>
    <w:rsid w:val="5B6B4549"/>
    <w:rsid w:val="5BAD031C"/>
    <w:rsid w:val="5BB36D0A"/>
    <w:rsid w:val="5BD03C5A"/>
    <w:rsid w:val="5BD33975"/>
    <w:rsid w:val="5BDA775F"/>
    <w:rsid w:val="5BEA7806"/>
    <w:rsid w:val="5BED1355"/>
    <w:rsid w:val="5C035D5C"/>
    <w:rsid w:val="5C054372"/>
    <w:rsid w:val="5C0B1081"/>
    <w:rsid w:val="5C0B33BE"/>
    <w:rsid w:val="5C2E76F3"/>
    <w:rsid w:val="5C531DAC"/>
    <w:rsid w:val="5C5F19A2"/>
    <w:rsid w:val="5C6742FC"/>
    <w:rsid w:val="5C7870C9"/>
    <w:rsid w:val="5C793AF2"/>
    <w:rsid w:val="5C885120"/>
    <w:rsid w:val="5C8D094F"/>
    <w:rsid w:val="5CAA3CDC"/>
    <w:rsid w:val="5CC14996"/>
    <w:rsid w:val="5CDB13F1"/>
    <w:rsid w:val="5CE42BFC"/>
    <w:rsid w:val="5D08718A"/>
    <w:rsid w:val="5D33075C"/>
    <w:rsid w:val="5D38401E"/>
    <w:rsid w:val="5D42131E"/>
    <w:rsid w:val="5D4B0C7E"/>
    <w:rsid w:val="5D65772A"/>
    <w:rsid w:val="5D787E7B"/>
    <w:rsid w:val="5DA30012"/>
    <w:rsid w:val="5DC93120"/>
    <w:rsid w:val="5DDA6F3B"/>
    <w:rsid w:val="5DDB5F91"/>
    <w:rsid w:val="5E282729"/>
    <w:rsid w:val="5E2C3252"/>
    <w:rsid w:val="5E39000D"/>
    <w:rsid w:val="5E5007AD"/>
    <w:rsid w:val="5E5126D4"/>
    <w:rsid w:val="5E575A00"/>
    <w:rsid w:val="5E5B33A6"/>
    <w:rsid w:val="5EEC29C3"/>
    <w:rsid w:val="5EF527AD"/>
    <w:rsid w:val="5EF546E4"/>
    <w:rsid w:val="5F0241A8"/>
    <w:rsid w:val="5F031737"/>
    <w:rsid w:val="5F1A1471"/>
    <w:rsid w:val="5F1B570F"/>
    <w:rsid w:val="5F4013BA"/>
    <w:rsid w:val="5F515252"/>
    <w:rsid w:val="5F882D2B"/>
    <w:rsid w:val="5FD025CB"/>
    <w:rsid w:val="5FD41E39"/>
    <w:rsid w:val="5FD57769"/>
    <w:rsid w:val="5FDC496F"/>
    <w:rsid w:val="5FEA0E05"/>
    <w:rsid w:val="5FEA1BFF"/>
    <w:rsid w:val="5FFA2F3B"/>
    <w:rsid w:val="60053545"/>
    <w:rsid w:val="60070501"/>
    <w:rsid w:val="600D47EB"/>
    <w:rsid w:val="60240F4A"/>
    <w:rsid w:val="602A2F0C"/>
    <w:rsid w:val="602F3018"/>
    <w:rsid w:val="605E48C7"/>
    <w:rsid w:val="606A7181"/>
    <w:rsid w:val="608D0DC2"/>
    <w:rsid w:val="60CF4513"/>
    <w:rsid w:val="60D87E5D"/>
    <w:rsid w:val="60F668B8"/>
    <w:rsid w:val="60FC46B7"/>
    <w:rsid w:val="61002168"/>
    <w:rsid w:val="61172DD5"/>
    <w:rsid w:val="6138206E"/>
    <w:rsid w:val="616270EF"/>
    <w:rsid w:val="61706EDF"/>
    <w:rsid w:val="61770AB3"/>
    <w:rsid w:val="619B1498"/>
    <w:rsid w:val="619B3BCB"/>
    <w:rsid w:val="61C5760F"/>
    <w:rsid w:val="61CB09F2"/>
    <w:rsid w:val="61F34165"/>
    <w:rsid w:val="62053AEE"/>
    <w:rsid w:val="622F00B1"/>
    <w:rsid w:val="62426D4A"/>
    <w:rsid w:val="62635111"/>
    <w:rsid w:val="62842199"/>
    <w:rsid w:val="62904A5E"/>
    <w:rsid w:val="62B6346C"/>
    <w:rsid w:val="62C4291E"/>
    <w:rsid w:val="62C65CEC"/>
    <w:rsid w:val="62F27D6D"/>
    <w:rsid w:val="631814C9"/>
    <w:rsid w:val="632F7DE7"/>
    <w:rsid w:val="6347606A"/>
    <w:rsid w:val="635B012E"/>
    <w:rsid w:val="635E620F"/>
    <w:rsid w:val="6368049F"/>
    <w:rsid w:val="63694881"/>
    <w:rsid w:val="636A3EC3"/>
    <w:rsid w:val="636A6F4B"/>
    <w:rsid w:val="63793000"/>
    <w:rsid w:val="63A94A31"/>
    <w:rsid w:val="63AC1EAC"/>
    <w:rsid w:val="63C90B49"/>
    <w:rsid w:val="63C910E5"/>
    <w:rsid w:val="63CC75B9"/>
    <w:rsid w:val="63E30C41"/>
    <w:rsid w:val="63FE1629"/>
    <w:rsid w:val="640673D9"/>
    <w:rsid w:val="641E6EE2"/>
    <w:rsid w:val="64275148"/>
    <w:rsid w:val="64326B19"/>
    <w:rsid w:val="645214CF"/>
    <w:rsid w:val="6487530B"/>
    <w:rsid w:val="64BA39D7"/>
    <w:rsid w:val="64CF3CAA"/>
    <w:rsid w:val="64D96235"/>
    <w:rsid w:val="64DA01CC"/>
    <w:rsid w:val="650F5FAC"/>
    <w:rsid w:val="65185303"/>
    <w:rsid w:val="652D2807"/>
    <w:rsid w:val="6534392E"/>
    <w:rsid w:val="654F6FF9"/>
    <w:rsid w:val="656033A2"/>
    <w:rsid w:val="65815AA0"/>
    <w:rsid w:val="658855D4"/>
    <w:rsid w:val="658867B3"/>
    <w:rsid w:val="659B42A0"/>
    <w:rsid w:val="65A8095A"/>
    <w:rsid w:val="65F1238A"/>
    <w:rsid w:val="65F35604"/>
    <w:rsid w:val="65FF3198"/>
    <w:rsid w:val="663B062F"/>
    <w:rsid w:val="663E4EF3"/>
    <w:rsid w:val="66471F83"/>
    <w:rsid w:val="665A01D2"/>
    <w:rsid w:val="6688533A"/>
    <w:rsid w:val="66BB442F"/>
    <w:rsid w:val="66D02521"/>
    <w:rsid w:val="67097AAB"/>
    <w:rsid w:val="670C3488"/>
    <w:rsid w:val="672E09CF"/>
    <w:rsid w:val="67365DB5"/>
    <w:rsid w:val="677507BF"/>
    <w:rsid w:val="6792126C"/>
    <w:rsid w:val="67A97CFB"/>
    <w:rsid w:val="67CF5A1D"/>
    <w:rsid w:val="67DA135C"/>
    <w:rsid w:val="67EB7F24"/>
    <w:rsid w:val="67EC006A"/>
    <w:rsid w:val="680328B7"/>
    <w:rsid w:val="680D5EE5"/>
    <w:rsid w:val="68107593"/>
    <w:rsid w:val="684D1BE5"/>
    <w:rsid w:val="68651677"/>
    <w:rsid w:val="686F261C"/>
    <w:rsid w:val="687E3602"/>
    <w:rsid w:val="688F77C3"/>
    <w:rsid w:val="68A9751A"/>
    <w:rsid w:val="68AC366C"/>
    <w:rsid w:val="68B329E9"/>
    <w:rsid w:val="69030906"/>
    <w:rsid w:val="692C4F44"/>
    <w:rsid w:val="69326C25"/>
    <w:rsid w:val="697D4944"/>
    <w:rsid w:val="697E2DEE"/>
    <w:rsid w:val="699956D3"/>
    <w:rsid w:val="699B3DF9"/>
    <w:rsid w:val="69E1523E"/>
    <w:rsid w:val="6A377133"/>
    <w:rsid w:val="6A3802AF"/>
    <w:rsid w:val="6A382142"/>
    <w:rsid w:val="6A3D7EF0"/>
    <w:rsid w:val="6A4E7EC9"/>
    <w:rsid w:val="6A650E8F"/>
    <w:rsid w:val="6A7F0672"/>
    <w:rsid w:val="6A8243F3"/>
    <w:rsid w:val="6AA25847"/>
    <w:rsid w:val="6ADE4B51"/>
    <w:rsid w:val="6AEB550E"/>
    <w:rsid w:val="6AF47AD0"/>
    <w:rsid w:val="6B0B7792"/>
    <w:rsid w:val="6B18387B"/>
    <w:rsid w:val="6B213C7A"/>
    <w:rsid w:val="6B2726B5"/>
    <w:rsid w:val="6B3D4519"/>
    <w:rsid w:val="6B4943C4"/>
    <w:rsid w:val="6B5760AD"/>
    <w:rsid w:val="6B6356A7"/>
    <w:rsid w:val="6B6712DB"/>
    <w:rsid w:val="6B6F75D9"/>
    <w:rsid w:val="6B7753BB"/>
    <w:rsid w:val="6B7A6C48"/>
    <w:rsid w:val="6B8223B8"/>
    <w:rsid w:val="6BA303EE"/>
    <w:rsid w:val="6BCA3451"/>
    <w:rsid w:val="6BD57A1A"/>
    <w:rsid w:val="6BE52340"/>
    <w:rsid w:val="6BEA317F"/>
    <w:rsid w:val="6BF84434"/>
    <w:rsid w:val="6C077B7C"/>
    <w:rsid w:val="6C89469E"/>
    <w:rsid w:val="6C93673A"/>
    <w:rsid w:val="6C9559EA"/>
    <w:rsid w:val="6C991B9A"/>
    <w:rsid w:val="6CBB305B"/>
    <w:rsid w:val="6CC206BF"/>
    <w:rsid w:val="6CC30C66"/>
    <w:rsid w:val="6CDD0CB1"/>
    <w:rsid w:val="6CE419F3"/>
    <w:rsid w:val="6CE93DEC"/>
    <w:rsid w:val="6D225A73"/>
    <w:rsid w:val="6D4B705D"/>
    <w:rsid w:val="6D711A3E"/>
    <w:rsid w:val="6D8D0D90"/>
    <w:rsid w:val="6D96046C"/>
    <w:rsid w:val="6DC91D5B"/>
    <w:rsid w:val="6DD50561"/>
    <w:rsid w:val="6DD95830"/>
    <w:rsid w:val="6DF021A3"/>
    <w:rsid w:val="6E124286"/>
    <w:rsid w:val="6E134309"/>
    <w:rsid w:val="6E1A1F69"/>
    <w:rsid w:val="6E3B5323"/>
    <w:rsid w:val="6E4F38F8"/>
    <w:rsid w:val="6E657BB2"/>
    <w:rsid w:val="6E6E43B8"/>
    <w:rsid w:val="6E793023"/>
    <w:rsid w:val="6E7F7AFB"/>
    <w:rsid w:val="6EB770BA"/>
    <w:rsid w:val="6EB96505"/>
    <w:rsid w:val="6ED43ACF"/>
    <w:rsid w:val="6EDF1CCE"/>
    <w:rsid w:val="6EEA71F0"/>
    <w:rsid w:val="6F2B434D"/>
    <w:rsid w:val="6F2C5B46"/>
    <w:rsid w:val="6F2D78EE"/>
    <w:rsid w:val="6F4947DA"/>
    <w:rsid w:val="6F4E71A8"/>
    <w:rsid w:val="6F70301C"/>
    <w:rsid w:val="6F781F55"/>
    <w:rsid w:val="6F7C562E"/>
    <w:rsid w:val="6FB93CAC"/>
    <w:rsid w:val="6FB95193"/>
    <w:rsid w:val="6FC17894"/>
    <w:rsid w:val="6FE60D34"/>
    <w:rsid w:val="6FEE7F40"/>
    <w:rsid w:val="70015EAC"/>
    <w:rsid w:val="70093C44"/>
    <w:rsid w:val="7013025E"/>
    <w:rsid w:val="70150176"/>
    <w:rsid w:val="701806D9"/>
    <w:rsid w:val="706A4129"/>
    <w:rsid w:val="70747A02"/>
    <w:rsid w:val="7076111A"/>
    <w:rsid w:val="70B73E00"/>
    <w:rsid w:val="70B774D1"/>
    <w:rsid w:val="70F2796B"/>
    <w:rsid w:val="710F1765"/>
    <w:rsid w:val="71102404"/>
    <w:rsid w:val="711A1C30"/>
    <w:rsid w:val="711D088F"/>
    <w:rsid w:val="711E6ABB"/>
    <w:rsid w:val="71400456"/>
    <w:rsid w:val="714C2EBE"/>
    <w:rsid w:val="71611C06"/>
    <w:rsid w:val="71636191"/>
    <w:rsid w:val="71686453"/>
    <w:rsid w:val="716F74C0"/>
    <w:rsid w:val="71A976A3"/>
    <w:rsid w:val="71B83D73"/>
    <w:rsid w:val="71C94377"/>
    <w:rsid w:val="71D6274F"/>
    <w:rsid w:val="72033A39"/>
    <w:rsid w:val="726E4C9E"/>
    <w:rsid w:val="7289516B"/>
    <w:rsid w:val="729037B3"/>
    <w:rsid w:val="729310B6"/>
    <w:rsid w:val="72A90793"/>
    <w:rsid w:val="72C80096"/>
    <w:rsid w:val="72CD0489"/>
    <w:rsid w:val="72DB349B"/>
    <w:rsid w:val="72E10CF1"/>
    <w:rsid w:val="72E16E78"/>
    <w:rsid w:val="72EA15F7"/>
    <w:rsid w:val="73062CBE"/>
    <w:rsid w:val="73297EB2"/>
    <w:rsid w:val="732B2071"/>
    <w:rsid w:val="73497FD2"/>
    <w:rsid w:val="735765E8"/>
    <w:rsid w:val="73611BAF"/>
    <w:rsid w:val="7368643D"/>
    <w:rsid w:val="73794A20"/>
    <w:rsid w:val="738A6877"/>
    <w:rsid w:val="739C4779"/>
    <w:rsid w:val="73A2442B"/>
    <w:rsid w:val="73AA6208"/>
    <w:rsid w:val="73C832AF"/>
    <w:rsid w:val="73E52982"/>
    <w:rsid w:val="73FA0625"/>
    <w:rsid w:val="74024A09"/>
    <w:rsid w:val="74026309"/>
    <w:rsid w:val="7422148A"/>
    <w:rsid w:val="74472CC7"/>
    <w:rsid w:val="748330DD"/>
    <w:rsid w:val="7485747A"/>
    <w:rsid w:val="748D3B91"/>
    <w:rsid w:val="74963991"/>
    <w:rsid w:val="74B71854"/>
    <w:rsid w:val="74FD176E"/>
    <w:rsid w:val="75132281"/>
    <w:rsid w:val="754C1C51"/>
    <w:rsid w:val="755F4608"/>
    <w:rsid w:val="7564660F"/>
    <w:rsid w:val="7571106C"/>
    <w:rsid w:val="757918F4"/>
    <w:rsid w:val="75886342"/>
    <w:rsid w:val="758A779D"/>
    <w:rsid w:val="758E7458"/>
    <w:rsid w:val="75B9274E"/>
    <w:rsid w:val="75DB48BD"/>
    <w:rsid w:val="75F83FB4"/>
    <w:rsid w:val="75F9318E"/>
    <w:rsid w:val="75FC2E47"/>
    <w:rsid w:val="760A76F9"/>
    <w:rsid w:val="760E47B2"/>
    <w:rsid w:val="76631090"/>
    <w:rsid w:val="76703988"/>
    <w:rsid w:val="7672217C"/>
    <w:rsid w:val="76A12DC3"/>
    <w:rsid w:val="76D15B17"/>
    <w:rsid w:val="77186B1E"/>
    <w:rsid w:val="77645C7D"/>
    <w:rsid w:val="777439C1"/>
    <w:rsid w:val="7788350A"/>
    <w:rsid w:val="778B1158"/>
    <w:rsid w:val="77961505"/>
    <w:rsid w:val="77AD5E5C"/>
    <w:rsid w:val="77B15DF4"/>
    <w:rsid w:val="77B856B5"/>
    <w:rsid w:val="78076895"/>
    <w:rsid w:val="78091695"/>
    <w:rsid w:val="78151AE7"/>
    <w:rsid w:val="781D0ABF"/>
    <w:rsid w:val="782B5948"/>
    <w:rsid w:val="78602ABF"/>
    <w:rsid w:val="78665FE4"/>
    <w:rsid w:val="786E0FFE"/>
    <w:rsid w:val="78A93133"/>
    <w:rsid w:val="78D02FB6"/>
    <w:rsid w:val="78E43768"/>
    <w:rsid w:val="78FD3867"/>
    <w:rsid w:val="79214FA6"/>
    <w:rsid w:val="79367FB8"/>
    <w:rsid w:val="79392A29"/>
    <w:rsid w:val="79583AEC"/>
    <w:rsid w:val="795C7162"/>
    <w:rsid w:val="797812D7"/>
    <w:rsid w:val="799D7539"/>
    <w:rsid w:val="799F72C4"/>
    <w:rsid w:val="79A20557"/>
    <w:rsid w:val="79AB7A8E"/>
    <w:rsid w:val="79AC0207"/>
    <w:rsid w:val="79CB5BC6"/>
    <w:rsid w:val="79D0709A"/>
    <w:rsid w:val="79E554A8"/>
    <w:rsid w:val="79FD492D"/>
    <w:rsid w:val="7A087CF7"/>
    <w:rsid w:val="7A13564A"/>
    <w:rsid w:val="7A303322"/>
    <w:rsid w:val="7A7F6A39"/>
    <w:rsid w:val="7A9A2995"/>
    <w:rsid w:val="7A9E37B9"/>
    <w:rsid w:val="7AA85A57"/>
    <w:rsid w:val="7AA97571"/>
    <w:rsid w:val="7AC33D8D"/>
    <w:rsid w:val="7AD1328F"/>
    <w:rsid w:val="7AF26D81"/>
    <w:rsid w:val="7AF464E6"/>
    <w:rsid w:val="7AF6549D"/>
    <w:rsid w:val="7B014170"/>
    <w:rsid w:val="7B187563"/>
    <w:rsid w:val="7B1A61F8"/>
    <w:rsid w:val="7B5C346C"/>
    <w:rsid w:val="7B5E5C27"/>
    <w:rsid w:val="7B652196"/>
    <w:rsid w:val="7B703941"/>
    <w:rsid w:val="7B762D9E"/>
    <w:rsid w:val="7B784952"/>
    <w:rsid w:val="7B7C479D"/>
    <w:rsid w:val="7B7E15E7"/>
    <w:rsid w:val="7B920A5D"/>
    <w:rsid w:val="7BA1455F"/>
    <w:rsid w:val="7BCC7A90"/>
    <w:rsid w:val="7BDC1294"/>
    <w:rsid w:val="7BE975D0"/>
    <w:rsid w:val="7BF2190A"/>
    <w:rsid w:val="7C010589"/>
    <w:rsid w:val="7C160D02"/>
    <w:rsid w:val="7C1637C1"/>
    <w:rsid w:val="7C1E537F"/>
    <w:rsid w:val="7C215777"/>
    <w:rsid w:val="7C4706AF"/>
    <w:rsid w:val="7C526D30"/>
    <w:rsid w:val="7C574088"/>
    <w:rsid w:val="7C5D6386"/>
    <w:rsid w:val="7C921F5C"/>
    <w:rsid w:val="7C9D2374"/>
    <w:rsid w:val="7CAC42FA"/>
    <w:rsid w:val="7CD97C96"/>
    <w:rsid w:val="7CEA2FFC"/>
    <w:rsid w:val="7CF36D0A"/>
    <w:rsid w:val="7CFD68A1"/>
    <w:rsid w:val="7D004B90"/>
    <w:rsid w:val="7D09176A"/>
    <w:rsid w:val="7D15262A"/>
    <w:rsid w:val="7D21528B"/>
    <w:rsid w:val="7D295788"/>
    <w:rsid w:val="7D2D6988"/>
    <w:rsid w:val="7D431D8D"/>
    <w:rsid w:val="7D7D4F75"/>
    <w:rsid w:val="7D937F07"/>
    <w:rsid w:val="7DA008E1"/>
    <w:rsid w:val="7DAA286B"/>
    <w:rsid w:val="7DB954F6"/>
    <w:rsid w:val="7DC07247"/>
    <w:rsid w:val="7DC62F24"/>
    <w:rsid w:val="7DCA4DE2"/>
    <w:rsid w:val="7DDE5DE0"/>
    <w:rsid w:val="7DE93C91"/>
    <w:rsid w:val="7DFC10B6"/>
    <w:rsid w:val="7E0B2B81"/>
    <w:rsid w:val="7E0E7FD0"/>
    <w:rsid w:val="7E1B6002"/>
    <w:rsid w:val="7E1F4180"/>
    <w:rsid w:val="7E433210"/>
    <w:rsid w:val="7E575AC2"/>
    <w:rsid w:val="7E580C80"/>
    <w:rsid w:val="7E68207B"/>
    <w:rsid w:val="7E8B6473"/>
    <w:rsid w:val="7E950FE9"/>
    <w:rsid w:val="7EA454D3"/>
    <w:rsid w:val="7EC009E8"/>
    <w:rsid w:val="7ED16523"/>
    <w:rsid w:val="7EE83A26"/>
    <w:rsid w:val="7EF96B1E"/>
    <w:rsid w:val="7F353C06"/>
    <w:rsid w:val="7F410352"/>
    <w:rsid w:val="7F440F7A"/>
    <w:rsid w:val="7F510226"/>
    <w:rsid w:val="7F5E5DAF"/>
    <w:rsid w:val="7F633EFB"/>
    <w:rsid w:val="7F634386"/>
    <w:rsid w:val="7FBF3E86"/>
    <w:rsid w:val="7FCA7309"/>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iPriority="99" w:name="footer"/>
    <w:lsdException w:uiPriority="99" w:name="index heading"/>
    <w:lsdException w:qFormat="1"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16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link w:val="33"/>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3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35"/>
    <w:qFormat/>
    <w:uiPriority w:val="0"/>
    <w:pPr>
      <w:numPr>
        <w:ilvl w:val="2"/>
      </w:numPr>
      <w:spacing w:before="120"/>
      <w:outlineLvl w:val="2"/>
    </w:pPr>
    <w:rPr>
      <w:sz w:val="24"/>
    </w:rPr>
  </w:style>
  <w:style w:type="paragraph" w:styleId="5">
    <w:name w:val="heading 4"/>
    <w:basedOn w:val="4"/>
    <w:next w:val="1"/>
    <w:unhideWhenUsed/>
    <w:qFormat/>
    <w:uiPriority w:val="9"/>
    <w:pPr>
      <w:spacing w:beforeLines="0" w:afterLines="0" w:line="372" w:lineRule="auto"/>
      <w:outlineLvl w:val="3"/>
    </w:pPr>
    <w:rPr>
      <w:rFonts w:eastAsia="黑体"/>
      <w:b/>
      <w:sz w:val="28"/>
    </w:rPr>
  </w:style>
  <w:style w:type="paragraph" w:styleId="6">
    <w:name w:val="heading 5"/>
    <w:basedOn w:val="5"/>
    <w:next w:val="1"/>
    <w:unhideWhenUsed/>
    <w:qFormat/>
    <w:uiPriority w:val="9"/>
    <w:pPr>
      <w:spacing w:before="10" w:after="10" w:line="240" w:lineRule="auto"/>
      <w:outlineLvl w:val="4"/>
    </w:pPr>
    <w:rPr>
      <w:rFonts w:ascii="Times New Roman" w:hAnsi="Times New Roman" w:eastAsia="宋体"/>
      <w:sz w:val="21"/>
      <w:u w:val="single"/>
    </w:rPr>
  </w:style>
  <w:style w:type="paragraph" w:styleId="7">
    <w:name w:val="heading 6"/>
    <w:basedOn w:val="8"/>
    <w:next w:val="1"/>
    <w:qFormat/>
    <w:uiPriority w:val="0"/>
    <w:pPr>
      <w:outlineLvl w:val="5"/>
    </w:pPr>
  </w:style>
  <w:style w:type="character" w:default="1" w:styleId="27">
    <w:name w:val="Default Paragraph Font"/>
    <w:semiHidden/>
    <w:unhideWhenUsed/>
    <w:uiPriority w:val="1"/>
  </w:style>
  <w:style w:type="table" w:default="1" w:styleId="25">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List 3"/>
    <w:basedOn w:val="10"/>
    <w:qFormat/>
    <w:uiPriority w:val="0"/>
    <w:pPr>
      <w:ind w:left="1135"/>
    </w:pPr>
  </w:style>
  <w:style w:type="paragraph" w:styleId="10">
    <w:name w:val="List 2"/>
    <w:basedOn w:val="11"/>
    <w:qFormat/>
    <w:uiPriority w:val="0"/>
    <w:pPr>
      <w:ind w:left="851"/>
    </w:pPr>
  </w:style>
  <w:style w:type="paragraph" w:styleId="11">
    <w:name w:val="List"/>
    <w:basedOn w:val="1"/>
    <w:qFormat/>
    <w:uiPriority w:val="0"/>
    <w:pPr>
      <w:ind w:left="568" w:hanging="284"/>
    </w:pPr>
  </w:style>
  <w:style w:type="paragraph" w:styleId="12">
    <w:name w:val="caption"/>
    <w:basedOn w:val="1"/>
    <w:next w:val="1"/>
    <w:unhideWhenUsed/>
    <w:qFormat/>
    <w:uiPriority w:val="99"/>
    <w:rPr>
      <w:rFonts w:ascii="Arial" w:hAnsi="Arial" w:eastAsia="黑体"/>
      <w:sz w:val="20"/>
    </w:rPr>
  </w:style>
  <w:style w:type="paragraph" w:styleId="13">
    <w:name w:val="Document Map"/>
    <w:basedOn w:val="1"/>
    <w:link w:val="54"/>
    <w:semiHidden/>
    <w:unhideWhenUsed/>
    <w:qFormat/>
    <w:uiPriority w:val="99"/>
    <w:rPr>
      <w:rFonts w:ascii="宋体"/>
      <w:sz w:val="18"/>
      <w:szCs w:val="18"/>
    </w:rPr>
  </w:style>
  <w:style w:type="paragraph" w:styleId="14">
    <w:name w:val="annotation text"/>
    <w:basedOn w:val="1"/>
    <w:link w:val="36"/>
    <w:qFormat/>
    <w:uiPriority w:val="0"/>
  </w:style>
  <w:style w:type="paragraph" w:styleId="15">
    <w:name w:val="Body Text"/>
    <w:basedOn w:val="1"/>
    <w:qFormat/>
    <w:uiPriority w:val="0"/>
    <w:pPr>
      <w:spacing w:after="120"/>
    </w:pPr>
    <w:rPr>
      <w:rFonts w:ascii="Times" w:hAnsi="Times"/>
      <w:szCs w:val="24"/>
    </w:rPr>
  </w:style>
  <w:style w:type="paragraph" w:styleId="16">
    <w:name w:val="toc 3"/>
    <w:basedOn w:val="1"/>
    <w:next w:val="1"/>
    <w:unhideWhenUsed/>
    <w:qFormat/>
    <w:uiPriority w:val="99"/>
    <w:pPr>
      <w:adjustRightInd w:val="0"/>
      <w:ind w:left="1282" w:leftChars="400" w:hanging="442" w:hangingChars="200"/>
    </w:pPr>
    <w:rPr>
      <w:b/>
      <w:i/>
      <w:sz w:val="20"/>
    </w:rPr>
  </w:style>
  <w:style w:type="paragraph" w:styleId="17">
    <w:name w:val="Balloon Text"/>
    <w:basedOn w:val="1"/>
    <w:link w:val="32"/>
    <w:semiHidden/>
    <w:unhideWhenUsed/>
    <w:qFormat/>
    <w:uiPriority w:val="99"/>
    <w:rPr>
      <w:sz w:val="18"/>
      <w:szCs w:val="18"/>
    </w:rPr>
  </w:style>
  <w:style w:type="paragraph" w:styleId="18">
    <w:name w:val="footer"/>
    <w:basedOn w:val="1"/>
    <w:link w:val="37"/>
    <w:semiHidden/>
    <w:unhideWhenUsed/>
    <w:qFormat/>
    <w:uiPriority w:val="99"/>
    <w:pPr>
      <w:tabs>
        <w:tab w:val="center" w:pos="4153"/>
        <w:tab w:val="right" w:pos="8306"/>
      </w:tabs>
      <w:snapToGrid w:val="0"/>
      <w:jc w:val="left"/>
    </w:pPr>
    <w:rPr>
      <w:sz w:val="18"/>
      <w:szCs w:val="18"/>
    </w:rPr>
  </w:style>
  <w:style w:type="paragraph" w:styleId="19">
    <w:name w:val="header"/>
    <w:basedOn w:val="1"/>
    <w:link w:val="38"/>
    <w:semiHidden/>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unhideWhenUsed/>
    <w:qFormat/>
    <w:uiPriority w:val="39"/>
    <w:pPr>
      <w:tabs>
        <w:tab w:val="decimal" w:pos="0"/>
        <w:tab w:val="right" w:pos="9660"/>
      </w:tabs>
      <w:ind w:right="420" w:rightChars="200"/>
      <w:jc w:val="left"/>
    </w:pPr>
    <w:rPr>
      <w:b/>
      <w:bCs/>
      <w:i/>
      <w:iCs/>
      <w:sz w:val="20"/>
    </w:rPr>
  </w:style>
  <w:style w:type="paragraph" w:styleId="21">
    <w:name w:val="toc 2"/>
    <w:basedOn w:val="1"/>
    <w:next w:val="1"/>
    <w:semiHidden/>
    <w:unhideWhenUsed/>
    <w:qFormat/>
    <w:uiPriority w:val="99"/>
    <w:pPr>
      <w:tabs>
        <w:tab w:val="right" w:pos="420"/>
      </w:tabs>
      <w:ind w:left="862" w:leftChars="200" w:hanging="442" w:hangingChars="200"/>
      <w:jc w:val="left"/>
    </w:pPr>
    <w:rPr>
      <w:b/>
      <w:i/>
      <w:sz w:val="20"/>
    </w:rPr>
  </w:style>
  <w:style w:type="paragraph" w:styleId="22">
    <w:name w:val="List 4"/>
    <w:basedOn w:val="9"/>
    <w:qFormat/>
    <w:uiPriority w:val="0"/>
    <w:pPr>
      <w:ind w:left="1418"/>
    </w:pPr>
  </w:style>
  <w:style w:type="paragraph" w:styleId="23">
    <w:name w:val="Normal (Web)"/>
    <w:basedOn w:val="1"/>
    <w:unhideWhenUsed/>
    <w:qFormat/>
    <w:uiPriority w:val="99"/>
    <w:pPr>
      <w:spacing w:beforeAutospacing="1" w:afterAutospacing="1"/>
      <w:jc w:val="left"/>
    </w:pPr>
    <w:rPr>
      <w:kern w:val="0"/>
      <w:sz w:val="24"/>
    </w:rPr>
  </w:style>
  <w:style w:type="paragraph" w:styleId="24">
    <w:name w:val="annotation subject"/>
    <w:basedOn w:val="14"/>
    <w:next w:val="14"/>
    <w:link w:val="44"/>
    <w:semiHidden/>
    <w:unhideWhenUsed/>
    <w:qFormat/>
    <w:uiPriority w:val="99"/>
    <w:pPr>
      <w:jc w:val="left"/>
    </w:pPr>
    <w:rPr>
      <w:b/>
      <w:bCs/>
    </w:rPr>
  </w:style>
  <w:style w:type="table" w:styleId="26">
    <w:name w:val="Table Grid"/>
    <w:basedOn w:val="25"/>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basedOn w:val="27"/>
    <w:qFormat/>
    <w:uiPriority w:val="22"/>
    <w:rPr>
      <w:b/>
    </w:rPr>
  </w:style>
  <w:style w:type="character" w:styleId="29">
    <w:name w:val="page number"/>
    <w:basedOn w:val="27"/>
    <w:semiHidden/>
    <w:qFormat/>
    <w:uiPriority w:val="0"/>
  </w:style>
  <w:style w:type="character" w:styleId="30">
    <w:name w:val="Hyperlink"/>
    <w:basedOn w:val="27"/>
    <w:qFormat/>
    <w:uiPriority w:val="99"/>
    <w:rPr>
      <w:color w:val="0000FF"/>
      <w:u w:val="single"/>
    </w:rPr>
  </w:style>
  <w:style w:type="character" w:styleId="31">
    <w:name w:val="annotation reference"/>
    <w:basedOn w:val="27"/>
    <w:qFormat/>
    <w:uiPriority w:val="0"/>
    <w:rPr>
      <w:sz w:val="16"/>
    </w:rPr>
  </w:style>
  <w:style w:type="character" w:customStyle="1" w:styleId="32">
    <w:name w:val="批注框文本 字符"/>
    <w:basedOn w:val="27"/>
    <w:link w:val="17"/>
    <w:semiHidden/>
    <w:qFormat/>
    <w:uiPriority w:val="99"/>
    <w:rPr>
      <w:rFonts w:ascii="Times New Roman" w:hAnsi="Times New Roman" w:eastAsia="宋体" w:cs="Times New Roman"/>
      <w:sz w:val="18"/>
      <w:szCs w:val="18"/>
    </w:rPr>
  </w:style>
  <w:style w:type="character" w:customStyle="1" w:styleId="33">
    <w:name w:val="标题 1 字符"/>
    <w:basedOn w:val="27"/>
    <w:link w:val="2"/>
    <w:qFormat/>
    <w:uiPriority w:val="0"/>
    <w:rPr>
      <w:rFonts w:ascii="Arial" w:hAnsi="Arial" w:eastAsia="MS Mincho" w:cs="Times New Roman"/>
      <w:sz w:val="32"/>
      <w:szCs w:val="20"/>
    </w:rPr>
  </w:style>
  <w:style w:type="character" w:customStyle="1" w:styleId="34">
    <w:name w:val="标题 2 字符"/>
    <w:basedOn w:val="27"/>
    <w:link w:val="3"/>
    <w:qFormat/>
    <w:uiPriority w:val="0"/>
    <w:rPr>
      <w:rFonts w:ascii="Arial" w:hAnsi="Arial" w:eastAsia="MS Mincho" w:cs="Times New Roman"/>
      <w:sz w:val="28"/>
      <w:szCs w:val="20"/>
    </w:rPr>
  </w:style>
  <w:style w:type="character" w:customStyle="1" w:styleId="35">
    <w:name w:val="标题 3 字符"/>
    <w:basedOn w:val="27"/>
    <w:link w:val="4"/>
    <w:qFormat/>
    <w:uiPriority w:val="0"/>
    <w:rPr>
      <w:rFonts w:ascii="Arial" w:hAnsi="Arial" w:eastAsia="MS Mincho" w:cs="Times New Roman"/>
      <w:sz w:val="24"/>
      <w:szCs w:val="20"/>
    </w:rPr>
  </w:style>
  <w:style w:type="character" w:customStyle="1" w:styleId="36">
    <w:name w:val="批注文字 字符"/>
    <w:basedOn w:val="27"/>
    <w:link w:val="14"/>
    <w:qFormat/>
    <w:uiPriority w:val="0"/>
    <w:rPr>
      <w:rFonts w:ascii="Times New Roman" w:hAnsi="Times New Roman" w:eastAsia="宋体" w:cs="Times New Roman"/>
      <w:szCs w:val="20"/>
    </w:rPr>
  </w:style>
  <w:style w:type="character" w:customStyle="1" w:styleId="37">
    <w:name w:val="页脚 字符"/>
    <w:basedOn w:val="27"/>
    <w:link w:val="18"/>
    <w:semiHidden/>
    <w:qFormat/>
    <w:uiPriority w:val="99"/>
    <w:rPr>
      <w:rFonts w:ascii="Times New Roman" w:hAnsi="Times New Roman" w:eastAsia="宋体" w:cs="Times New Roman"/>
      <w:sz w:val="18"/>
      <w:szCs w:val="18"/>
    </w:rPr>
  </w:style>
  <w:style w:type="character" w:customStyle="1" w:styleId="38">
    <w:name w:val="页眉 字符"/>
    <w:basedOn w:val="27"/>
    <w:link w:val="19"/>
    <w:semiHidden/>
    <w:qFormat/>
    <w:uiPriority w:val="0"/>
    <w:rPr>
      <w:rFonts w:ascii="Times New Roman" w:hAnsi="Times New Roman" w:eastAsia="宋体" w:cs="Times New Roman"/>
      <w:sz w:val="18"/>
      <w:szCs w:val="18"/>
    </w:rPr>
  </w:style>
  <w:style w:type="paragraph" w:customStyle="1" w:styleId="39">
    <w:name w:val="References"/>
    <w:basedOn w:val="1"/>
    <w:qFormat/>
    <w:uiPriority w:val="0"/>
    <w:pPr>
      <w:numPr>
        <w:ilvl w:val="0"/>
        <w:numId w:val="2"/>
      </w:numPr>
      <w:spacing w:after="60"/>
    </w:pPr>
    <w:rPr>
      <w:szCs w:val="16"/>
    </w:rPr>
  </w:style>
  <w:style w:type="paragraph" w:styleId="40">
    <w:name w:val="List Paragraph"/>
    <w:basedOn w:val="1"/>
    <w:link w:val="46"/>
    <w:qFormat/>
    <w:uiPriority w:val="34"/>
    <w:pPr>
      <w:spacing w:beforeLines="0"/>
      <w:ind w:left="720"/>
      <w:contextualSpacing/>
    </w:pPr>
    <w:rPr>
      <w:rFonts w:eastAsia="Times New Roman"/>
      <w:sz w:val="24"/>
      <w:szCs w:val="24"/>
    </w:rPr>
  </w:style>
  <w:style w:type="character" w:customStyle="1" w:styleId="41">
    <w:name w:val="font21"/>
    <w:basedOn w:val="27"/>
    <w:qFormat/>
    <w:uiPriority w:val="0"/>
    <w:rPr>
      <w:rFonts w:hint="default" w:ascii="Times New Roman" w:hAnsi="Times New Roman" w:cs="Times New Roman"/>
      <w:color w:val="000000"/>
      <w:sz w:val="20"/>
      <w:szCs w:val="20"/>
      <w:u w:val="none"/>
    </w:rPr>
  </w:style>
  <w:style w:type="character" w:customStyle="1" w:styleId="42">
    <w:name w:val="font11"/>
    <w:basedOn w:val="27"/>
    <w:qFormat/>
    <w:uiPriority w:val="0"/>
    <w:rPr>
      <w:rFonts w:hint="default" w:ascii="Symbol" w:hAnsi="Symbol" w:cs="Symbol"/>
      <w:b/>
      <w:color w:val="000000"/>
      <w:sz w:val="20"/>
      <w:szCs w:val="20"/>
      <w:u w:val="none"/>
    </w:rPr>
  </w:style>
  <w:style w:type="character" w:customStyle="1" w:styleId="43">
    <w:name w:val="font01"/>
    <w:basedOn w:val="27"/>
    <w:qFormat/>
    <w:uiPriority w:val="0"/>
    <w:rPr>
      <w:rFonts w:hint="default" w:ascii="Symbol" w:hAnsi="Symbol" w:cs="Symbol"/>
      <w:color w:val="000000"/>
      <w:sz w:val="20"/>
      <w:szCs w:val="20"/>
      <w:u w:val="none"/>
    </w:rPr>
  </w:style>
  <w:style w:type="character" w:customStyle="1" w:styleId="44">
    <w:name w:val="批注主题 字符"/>
    <w:basedOn w:val="36"/>
    <w:link w:val="24"/>
    <w:semiHidden/>
    <w:qFormat/>
    <w:uiPriority w:val="99"/>
    <w:rPr>
      <w:rFonts w:ascii="Times New Roman" w:hAnsi="Times New Roman" w:eastAsia="宋体" w:cs="Times New Roman"/>
      <w:b/>
      <w:bCs/>
      <w:kern w:val="2"/>
      <w:sz w:val="21"/>
      <w:szCs w:val="20"/>
    </w:rPr>
  </w:style>
  <w:style w:type="paragraph" w:customStyle="1" w:styleId="45">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character" w:customStyle="1" w:styleId="46">
    <w:name w:val="列表段落 字符"/>
    <w:link w:val="40"/>
    <w:qFormat/>
    <w:uiPriority w:val="34"/>
    <w:rPr>
      <w:rFonts w:ascii="Times New Roman" w:hAnsi="Times New Roman" w:eastAsia="Times New Roman" w:cs="Times New Roman"/>
      <w:kern w:val="2"/>
      <w:sz w:val="24"/>
      <w:szCs w:val="24"/>
    </w:rPr>
  </w:style>
  <w:style w:type="character" w:styleId="47">
    <w:name w:val="Placeholder Text"/>
    <w:basedOn w:val="27"/>
    <w:unhideWhenUsed/>
    <w:qFormat/>
    <w:uiPriority w:val="99"/>
    <w:rPr>
      <w:color w:val="808080"/>
    </w:rPr>
  </w:style>
  <w:style w:type="paragraph" w:customStyle="1" w:styleId="48">
    <w:name w:val="x_msonormal"/>
    <w:basedOn w:val="1"/>
    <w:qFormat/>
    <w:uiPriority w:val="99"/>
    <w:pPr>
      <w:spacing w:before="100" w:beforeAutospacing="1" w:after="100" w:afterAutospacing="1"/>
    </w:pPr>
    <w:rPr>
      <w:rFonts w:ascii="Calibri" w:hAnsi="Calibri" w:cs="Calibri" w:eastAsiaTheme="minorHAnsi"/>
      <w:sz w:val="22"/>
      <w:szCs w:val="22"/>
      <w:lang w:eastAsia="en-GB"/>
    </w:rPr>
  </w:style>
  <w:style w:type="character" w:customStyle="1" w:styleId="49">
    <w:name w:val="x_apple-converted-space"/>
    <w:qFormat/>
    <w:uiPriority w:val="0"/>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qFormat/>
    <w:uiPriority w:val="0"/>
    <w:pPr>
      <w:keepNext/>
      <w:keepLines/>
    </w:pPr>
    <w:rPr>
      <w:rFonts w:ascii="Arial" w:hAnsi="Arial"/>
      <w:sz w:val="18"/>
    </w:rPr>
  </w:style>
  <w:style w:type="paragraph" w:customStyle="1" w:styleId="53">
    <w:name w:val="修订1"/>
    <w:hidden/>
    <w:semiHidden/>
    <w:qFormat/>
    <w:uiPriority w:val="99"/>
    <w:pPr>
      <w:spacing w:after="160" w:line="259" w:lineRule="auto"/>
    </w:pPr>
    <w:rPr>
      <w:rFonts w:ascii="Times New Roman" w:hAnsi="Times New Roman" w:eastAsia="宋体" w:cs="Times New Roman"/>
      <w:kern w:val="2"/>
      <w:sz w:val="21"/>
      <w:lang w:val="en-US" w:eastAsia="zh-CN" w:bidi="ar-SA"/>
    </w:rPr>
  </w:style>
  <w:style w:type="character" w:customStyle="1" w:styleId="54">
    <w:name w:val="文档结构图 字符"/>
    <w:basedOn w:val="27"/>
    <w:link w:val="13"/>
    <w:semiHidden/>
    <w:qFormat/>
    <w:uiPriority w:val="99"/>
    <w:rPr>
      <w:rFonts w:ascii="宋体"/>
      <w:kern w:val="2"/>
      <w:sz w:val="18"/>
      <w:szCs w:val="18"/>
    </w:rPr>
  </w:style>
  <w:style w:type="paragraph" w:customStyle="1" w:styleId="55">
    <w:name w:val="修订2"/>
    <w:hidden/>
    <w:unhideWhenUsed/>
    <w:qFormat/>
    <w:uiPriority w:val="99"/>
    <w:pPr>
      <w:spacing w:after="160" w:line="259" w:lineRule="auto"/>
    </w:pPr>
    <w:rPr>
      <w:rFonts w:ascii="Times New Roman" w:hAnsi="Times New Roman" w:eastAsia="宋体" w:cs="Times New Roman"/>
      <w:kern w:val="2"/>
      <w:sz w:val="21"/>
      <w:lang w:val="en-US" w:eastAsia="zh-CN" w:bidi="ar-SA"/>
    </w:rPr>
  </w:style>
  <w:style w:type="paragraph" w:customStyle="1" w:styleId="56">
    <w:name w:val="xmsonormal"/>
    <w:basedOn w:val="1"/>
    <w:qFormat/>
    <w:uiPriority w:val="0"/>
    <w:pPr>
      <w:spacing w:before="100" w:beforeAutospacing="1" w:after="100" w:afterAutospacing="1"/>
    </w:pPr>
    <w:rPr>
      <w:rFonts w:ascii="Calibri" w:hAnsi="Calibri" w:eastAsia="Calibri" w:cs="Calibri"/>
      <w:sz w:val="22"/>
      <w:szCs w:val="22"/>
    </w:rPr>
  </w:style>
  <w:style w:type="character" w:customStyle="1" w:styleId="57">
    <w:name w:val="apple-converted-space"/>
    <w:basedOn w:val="27"/>
    <w:qFormat/>
    <w:uiPriority w:val="0"/>
  </w:style>
  <w:style w:type="paragraph" w:customStyle="1" w:styleId="58">
    <w:name w:val="Tdoc_Header_2"/>
    <w:basedOn w:val="1"/>
    <w:qFormat/>
    <w:uiPriority w:val="0"/>
    <w:pPr>
      <w:widowControl w:val="0"/>
      <w:tabs>
        <w:tab w:val="left" w:pos="1701"/>
        <w:tab w:val="right" w:pos="9072"/>
        <w:tab w:val="right" w:pos="10206"/>
      </w:tabs>
    </w:pPr>
    <w:rPr>
      <w:rFonts w:ascii="Arial" w:hAnsi="Arial"/>
      <w:b/>
      <w:sz w:val="18"/>
    </w:rPr>
  </w:style>
  <w:style w:type="paragraph" w:customStyle="1" w:styleId="59">
    <w:name w:val="x_xmsonormal"/>
    <w:basedOn w:val="1"/>
    <w:qFormat/>
    <w:uiPriority w:val="0"/>
    <w:rPr>
      <w:rFonts w:ascii="宋体" w:hAnsi="宋体" w:cs="Calibri"/>
      <w:sz w:val="24"/>
    </w:rPr>
  </w:style>
  <w:style w:type="paragraph" w:customStyle="1" w:styleId="60">
    <w:name w:val="YJ-Observation"/>
    <w:basedOn w:val="1"/>
    <w:qFormat/>
    <w:uiPriority w:val="0"/>
    <w:pPr>
      <w:numPr>
        <w:ilvl w:val="0"/>
        <w:numId w:val="3"/>
      </w:numPr>
      <w:tabs>
        <w:tab w:val="left" w:pos="420"/>
      </w:tabs>
      <w:jc w:val="left"/>
    </w:pPr>
    <w:rPr>
      <w:rFonts w:eastAsiaTheme="minorEastAsia"/>
      <w:b/>
      <w:bCs/>
      <w:i/>
      <w:iCs/>
      <w:sz w:val="20"/>
      <w:lang w:val="en-GB" w:eastAsia="en-US"/>
    </w:rPr>
  </w:style>
  <w:style w:type="paragraph" w:customStyle="1" w:styleId="61">
    <w:name w:val="3GPP Normal Text"/>
    <w:basedOn w:val="15"/>
    <w:qFormat/>
    <w:uiPriority w:val="0"/>
    <w:pPr>
      <w:spacing w:after="60"/>
    </w:pPr>
    <w:rPr>
      <w:rFonts w:ascii="Times New Roman" w:hAnsi="Times New Roman" w:eastAsia="MS Mincho"/>
    </w:rPr>
  </w:style>
  <w:style w:type="paragraph" w:customStyle="1" w:styleId="62">
    <w:name w:val="List Paragraph1"/>
    <w:basedOn w:val="1"/>
    <w:qFormat/>
    <w:uiPriority w:val="0"/>
    <w:pPr>
      <w:widowControl w:val="0"/>
      <w:spacing w:beforeLines="0" w:afterLines="0" w:line="240" w:lineRule="auto"/>
      <w:ind w:firstLine="420" w:firstLineChars="200"/>
    </w:pPr>
    <w:rPr>
      <w:rFonts w:ascii="Calibri" w:hAnsi="Calibri"/>
      <w:szCs w:val="21"/>
    </w:rPr>
  </w:style>
  <w:style w:type="paragraph" w:customStyle="1" w:styleId="63">
    <w:name w:val="YJ-Proposal"/>
    <w:basedOn w:val="1"/>
    <w:qFormat/>
    <w:uiPriority w:val="0"/>
    <w:pPr>
      <w:numPr>
        <w:ilvl w:val="0"/>
        <w:numId w:val="4"/>
      </w:numPr>
      <w:jc w:val="left"/>
    </w:pPr>
    <w:rPr>
      <w:rFonts w:eastAsiaTheme="minorEastAsia"/>
      <w:b/>
      <w:bCs/>
      <w:i/>
      <w:iCs/>
      <w:sz w:val="20"/>
      <w:lang w:val="en-GB" w:eastAsia="en-US"/>
    </w:rPr>
  </w:style>
  <w:style w:type="character" w:customStyle="1" w:styleId="64">
    <w:name w:val="contentpasted2"/>
    <w:basedOn w:val="27"/>
    <w:qFormat/>
    <w:uiPriority w:val="0"/>
  </w:style>
  <w:style w:type="paragraph" w:customStyle="1" w:styleId="65">
    <w:name w:val="TH"/>
    <w:basedOn w:val="1"/>
    <w:qFormat/>
    <w:uiPriority w:val="0"/>
    <w:pPr>
      <w:keepNext/>
      <w:keepLines/>
      <w:spacing w:before="60" w:after="180"/>
      <w:jc w:val="center"/>
    </w:pPr>
    <w:rPr>
      <w:rFonts w:ascii="Arial" w:hAnsi="Arial" w:eastAsia="Times New Roman"/>
      <w:b/>
      <w:sz w:val="20"/>
      <w:lang w:val="en-GB"/>
    </w:rPr>
  </w:style>
  <w:style w:type="paragraph" w:customStyle="1" w:styleId="66">
    <w:name w:val="B1"/>
    <w:basedOn w:val="11"/>
    <w:qFormat/>
    <w:uiPriority w:val="0"/>
  </w:style>
  <w:style w:type="paragraph" w:customStyle="1" w:styleId="67">
    <w:name w:val="B2"/>
    <w:basedOn w:val="10"/>
    <w:qFormat/>
    <w:uiPriority w:val="0"/>
  </w:style>
  <w:style w:type="paragraph" w:customStyle="1" w:styleId="68">
    <w:name w:val="B3"/>
    <w:basedOn w:val="9"/>
    <w:qFormat/>
    <w:uiPriority w:val="0"/>
  </w:style>
  <w:style w:type="paragraph" w:customStyle="1" w:styleId="69">
    <w:name w:val="B4"/>
    <w:basedOn w:val="22"/>
    <w:qFormat/>
    <w:uiPriority w:val="0"/>
  </w:style>
  <w:style w:type="paragraph" w:customStyle="1" w:styleId="70">
    <w:name w:val="EQ"/>
    <w:basedOn w:val="1"/>
    <w:next w:val="1"/>
    <w:qFormat/>
    <w:uiPriority w:val="0"/>
    <w:pPr>
      <w:keepLines/>
      <w:tabs>
        <w:tab w:val="center" w:pos="4536"/>
        <w:tab w:val="right" w:pos="9072"/>
      </w:tabs>
    </w:pPr>
  </w:style>
  <w:style w:type="paragraph" w:customStyle="1" w:styleId="71">
    <w:name w:val="listparagraph"/>
    <w:basedOn w:val="1"/>
    <w:qFormat/>
    <w:uiPriority w:val="99"/>
    <w:pPr>
      <w:spacing w:line="252" w:lineRule="auto"/>
      <w:ind w:left="720"/>
    </w:pPr>
    <w:rPr>
      <w:rFonts w:ascii="Calibri" w:hAnsi="Calibri" w:eastAsia="Calibri" w:cs="Calibri"/>
      <w:sz w:val="22"/>
      <w:szCs w:val="22"/>
    </w:rPr>
  </w:style>
  <w:style w:type="paragraph" w:customStyle="1" w:styleId="72">
    <w:name w:val="Guidance"/>
    <w:basedOn w:val="1"/>
    <w:qFormat/>
    <w:uiPriority w:val="0"/>
    <w:rPr>
      <w:rFonts w:eastAsia="Times New Roman"/>
      <w:i/>
      <w:color w:val="000000"/>
      <w:lang w:eastAsia="ja-JP"/>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C8BEA7-0632-4927-8F8F-DEA10B023E03}">
  <ds:schemaRefs/>
</ds:datastoreItem>
</file>

<file path=docProps/app.xml><?xml version="1.0" encoding="utf-8"?>
<Properties xmlns="http://schemas.openxmlformats.org/officeDocument/2006/extended-properties" xmlns:vt="http://schemas.openxmlformats.org/officeDocument/2006/docPropsVTypes">
  <Template>Normal.dotm</Template>
  <Pages>7</Pages>
  <Words>2306</Words>
  <Characters>13145</Characters>
  <Lines>109</Lines>
  <Paragraphs>30</Paragraphs>
  <TotalTime>5</TotalTime>
  <ScaleCrop>false</ScaleCrop>
  <LinksUpToDate>false</LinksUpToDate>
  <CharactersWithSpaces>15421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2022-09-29T12:33:00Z</dcterms:created>
  <dc:creator>YuzhouHu</dc:creator>
  <cp:lastModifiedBy>ZTE, Jiajun Xu</cp:lastModifiedBy>
  <dcterms:modified xsi:type="dcterms:W3CDTF">2024-02-19T08:55:43Z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FEA2CEC29B3C48E6BF9D61F60ADB2D34</vt:lpwstr>
  </property>
</Properties>
</file>